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57B4">
      <w:pPr>
        <w:spacing w:line="440" w:lineRule="exact"/>
        <w:ind w:left="181" w:hanging="181" w:hangingChars="75"/>
        <w:rPr>
          <w:rFonts w:ascii="仿宋" w:hAnsi="仿宋" w:eastAsia="仿宋" w:cs="仿宋"/>
          <w:sz w:val="24"/>
        </w:rPr>
      </w:pPr>
      <w:r>
        <w:rPr>
          <w:rFonts w:hint="eastAsia" w:ascii="仿宋" w:hAnsi="仿宋" w:eastAsia="仿宋" w:cs="仿宋"/>
          <w:b/>
          <w:bCs/>
          <w:sz w:val="24"/>
        </w:rPr>
        <w:t xml:space="preserve">电子签名认证维保服务项目    </w:t>
      </w:r>
      <w:r>
        <w:rPr>
          <w:rFonts w:hint="eastAsia" w:ascii="仿宋" w:hAnsi="仿宋" w:eastAsia="仿宋" w:cs="仿宋"/>
          <w:sz w:val="24"/>
        </w:rPr>
        <w:t xml:space="preserve">      </w:t>
      </w:r>
      <w:r>
        <w:rPr>
          <w:rFonts w:hint="eastAsia" w:ascii="仿宋" w:hAnsi="仿宋" w:eastAsia="仿宋" w:cs="仿宋"/>
          <w:b/>
          <w:sz w:val="24"/>
        </w:rPr>
        <w:t>预算</w:t>
      </w:r>
      <w:r>
        <w:rPr>
          <w:rFonts w:hint="eastAsia" w:ascii="仿宋" w:hAnsi="仿宋" w:eastAsia="仿宋" w:cs="仿宋"/>
          <w:b/>
          <w:sz w:val="24"/>
          <w:lang w:val="en-US" w:eastAsia="zh-CN"/>
        </w:rPr>
        <w:t>金额</w:t>
      </w:r>
      <w:r>
        <w:rPr>
          <w:rFonts w:hint="eastAsia" w:ascii="仿宋" w:hAnsi="仿宋" w:eastAsia="仿宋" w:cs="仿宋"/>
          <w:b/>
          <w:sz w:val="24"/>
        </w:rPr>
        <w:t>：</w:t>
      </w:r>
      <w:r>
        <w:rPr>
          <w:rFonts w:hint="eastAsia" w:ascii="仿宋" w:hAnsi="仿宋" w:eastAsia="仿宋" w:cs="仿宋"/>
          <w:b/>
          <w:sz w:val="24"/>
          <w:lang w:val="en-US" w:eastAsia="zh-CN"/>
        </w:rPr>
        <w:t>85</w:t>
      </w:r>
      <w:r>
        <w:rPr>
          <w:rFonts w:hint="eastAsia" w:ascii="仿宋" w:hAnsi="仿宋" w:eastAsia="仿宋" w:cs="仿宋"/>
          <w:b/>
          <w:sz w:val="24"/>
        </w:rPr>
        <w:t>000.00元</w:t>
      </w:r>
    </w:p>
    <w:p w14:paraId="478E567B">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一、项目建设目标</w:t>
      </w:r>
    </w:p>
    <w:p w14:paraId="7089E452">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为实现全院无纸化的目标，保障我院电子病历系统、HIS系统、LIS系统、PACS系统的业务信息安全，实现电子病历合法化，我院已完成了医院电子认证服务的建设工作，后续需要绍兴市</w:t>
      </w:r>
      <w:r>
        <w:rPr>
          <w:rFonts w:hint="eastAsia" w:ascii="仿宋" w:hAnsi="仿宋" w:eastAsia="仿宋" w:cs="仿宋"/>
          <w:sz w:val="24"/>
          <w:szCs w:val="24"/>
          <w:lang w:eastAsia="zh-CN"/>
        </w:rPr>
        <w:t>第七人民医院</w:t>
      </w:r>
      <w:r>
        <w:rPr>
          <w:rFonts w:hint="eastAsia" w:ascii="仿宋" w:hAnsi="仿宋" w:eastAsia="仿宋" w:cs="仿宋"/>
          <w:sz w:val="24"/>
          <w:szCs w:val="24"/>
        </w:rPr>
        <w:t>电子认证应用平台的运维服务并续采手机云签名服务，完成相关日常安全管理规范和标准的制定及修订，保证电子认证应用平台的安全可靠运行。</w:t>
      </w:r>
    </w:p>
    <w:p w14:paraId="63EF19BF">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二、项目建设内容和要求</w:t>
      </w:r>
    </w:p>
    <w:p w14:paraId="18CF06D9">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1、电子认证云服务体系建设要求</w:t>
      </w:r>
    </w:p>
    <w:p w14:paraId="23138115">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根据我院的具体需求实现医院内的电子认证云服务体系建设，为医院中涉及医疗信息系统解决行为人的身份凭证、电子签名及凭证认证问题。</w:t>
      </w:r>
    </w:p>
    <w:p w14:paraId="0DBB1AF6">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具体满足以下要求：</w:t>
      </w:r>
    </w:p>
    <w:p w14:paraId="29CDBB40">
      <w:pPr>
        <w:keepNext w:val="0"/>
        <w:keepLines w:val="0"/>
        <w:pageBreakBefore w:val="0"/>
        <w:numPr>
          <w:ilvl w:val="0"/>
          <w:numId w:val="2"/>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提供移动端数字证书服务，包括手机证书申请、下载，方便医院用户获取证书服务。</w:t>
      </w:r>
    </w:p>
    <w:p w14:paraId="6FB21AEB">
      <w:pPr>
        <w:keepNext w:val="0"/>
        <w:keepLines w:val="0"/>
        <w:pageBreakBefore w:val="0"/>
        <w:numPr>
          <w:ilvl w:val="0"/>
          <w:numId w:val="2"/>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提供证书快速应急服务，满足医院对业务连续性的要求。</w:t>
      </w:r>
    </w:p>
    <w:p w14:paraId="5B5C70BC">
      <w:pPr>
        <w:keepNext w:val="0"/>
        <w:keepLines w:val="0"/>
        <w:pageBreakBefore w:val="0"/>
        <w:numPr>
          <w:ilvl w:val="0"/>
          <w:numId w:val="2"/>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支持按照医院实际应用需要，灵活定制服务交付的业务流程。</w:t>
      </w:r>
    </w:p>
    <w:p w14:paraId="3FAE1044">
      <w:pPr>
        <w:keepNext w:val="0"/>
        <w:keepLines w:val="0"/>
        <w:pageBreakBefore w:val="0"/>
        <w:numPr>
          <w:ilvl w:val="0"/>
          <w:numId w:val="2"/>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支持手机（Android、IOS）的证书存储介质，满足医院对一证多用的特殊需求；</w:t>
      </w:r>
    </w:p>
    <w:p w14:paraId="178BE864">
      <w:pPr>
        <w:keepNext w:val="0"/>
        <w:keepLines w:val="0"/>
        <w:pageBreakBefore w:val="0"/>
        <w:numPr>
          <w:ilvl w:val="0"/>
          <w:numId w:val="2"/>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提供完善的医生电子签名模式：涵盖临床业务系统中即时签名、批量签名、拒绝签名、作废签名等多种场景。实现医疗数据的PC端和移动端的分级确认和分级签批；</w:t>
      </w:r>
    </w:p>
    <w:p w14:paraId="3104B32D">
      <w:pPr>
        <w:keepNext w:val="0"/>
        <w:keepLines w:val="0"/>
        <w:pageBreakBefore w:val="0"/>
        <w:numPr>
          <w:ilvl w:val="0"/>
          <w:numId w:val="2"/>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提供电子认证服务高可用机制，包括：断网业务连续性服务机制；远程接入和测试服务流程；服务监控。</w:t>
      </w:r>
    </w:p>
    <w:p w14:paraId="3A0BAA2B">
      <w:pPr>
        <w:keepNext w:val="0"/>
        <w:keepLines w:val="0"/>
        <w:pageBreakBefore w:val="0"/>
        <w:numPr>
          <w:ilvl w:val="0"/>
          <w:numId w:val="2"/>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提供预签名机制使电子签名与临床诊疗工作异步进行，支持医生不带手机时签名解决方案。</w:t>
      </w:r>
    </w:p>
    <w:p w14:paraId="4B7B59C4">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三、售后服务和技术支持要求</w:t>
      </w:r>
    </w:p>
    <w:p w14:paraId="3EA6B759">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提供完善的售后服务和技术支持方案，包括但不限于以下内容：</w:t>
      </w:r>
    </w:p>
    <w:p w14:paraId="3C54FE33">
      <w:pPr>
        <w:keepNext w:val="0"/>
        <w:keepLines w:val="0"/>
        <w:pageBreakBefore w:val="0"/>
        <w:numPr>
          <w:ilvl w:val="0"/>
          <w:numId w:val="3"/>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投标人应当具有良好的服务理念和完善的售后服务体系，能够按照投标技术方案提供系统集成技术支持服务；</w:t>
      </w:r>
    </w:p>
    <w:p w14:paraId="26D9F5D0">
      <w:pPr>
        <w:keepNext w:val="0"/>
        <w:keepLines w:val="0"/>
        <w:pageBreakBefore w:val="0"/>
        <w:numPr>
          <w:ilvl w:val="0"/>
          <w:numId w:val="3"/>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投标人提供售后产品维保服务一年，手机云签名服务一年。</w:t>
      </w:r>
    </w:p>
    <w:p w14:paraId="5CBC042C">
      <w:pPr>
        <w:keepNext w:val="0"/>
        <w:keepLines w:val="0"/>
        <w:pageBreakBefore w:val="0"/>
        <w:numPr>
          <w:ilvl w:val="0"/>
          <w:numId w:val="3"/>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在系统建设、使用、运维等过程中遇到问题时，都能够得到投标人相应的技术支持与帮助；</w:t>
      </w:r>
    </w:p>
    <w:p w14:paraId="2C36D9B1">
      <w:pPr>
        <w:keepNext w:val="0"/>
        <w:keepLines w:val="0"/>
        <w:pageBreakBefore w:val="0"/>
        <w:numPr>
          <w:ilvl w:val="0"/>
          <w:numId w:val="3"/>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提供7x24小时热线电话、远程网络、现场等技术支持服务，对于系统故障，要求提供快速响应机制，满足医院业务连续性要求；</w:t>
      </w:r>
    </w:p>
    <w:p w14:paraId="5929AFDD">
      <w:pPr>
        <w:keepNext w:val="0"/>
        <w:keepLines w:val="0"/>
        <w:pageBreakBefore w:val="0"/>
        <w:numPr>
          <w:ilvl w:val="0"/>
          <w:numId w:val="3"/>
        </w:numPr>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根据医院的业务特点和用户认知程度不同，提出系统而有效的培训方案。</w:t>
      </w:r>
    </w:p>
    <w:p w14:paraId="69EE8712">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四、服务内容</w:t>
      </w:r>
    </w:p>
    <w:tbl>
      <w:tblPr>
        <w:tblStyle w:val="5"/>
        <w:tblW w:w="47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8"/>
        <w:gridCol w:w="3610"/>
        <w:gridCol w:w="1336"/>
        <w:gridCol w:w="1068"/>
        <w:gridCol w:w="1233"/>
      </w:tblGrid>
      <w:tr w14:paraId="1806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trPr>
        <w:tc>
          <w:tcPr>
            <w:tcW w:w="479" w:type="pct"/>
            <w:shd w:val="clear" w:color="auto" w:fill="auto"/>
            <w:tcMar>
              <w:top w:w="0" w:type="dxa"/>
              <w:left w:w="108" w:type="dxa"/>
              <w:bottom w:w="0" w:type="dxa"/>
              <w:right w:w="108" w:type="dxa"/>
            </w:tcMar>
            <w:vAlign w:val="center"/>
          </w:tcPr>
          <w:p w14:paraId="651B833A">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2251" w:type="pct"/>
            <w:shd w:val="clear" w:color="auto" w:fill="auto"/>
            <w:tcMar>
              <w:top w:w="0" w:type="dxa"/>
              <w:left w:w="108" w:type="dxa"/>
              <w:bottom w:w="0" w:type="dxa"/>
              <w:right w:w="108" w:type="dxa"/>
            </w:tcMar>
            <w:vAlign w:val="center"/>
          </w:tcPr>
          <w:p w14:paraId="1DF5E1E7">
            <w:pPr>
              <w:keepNext w:val="0"/>
              <w:keepLines w:val="0"/>
              <w:pageBreakBefore w:val="0"/>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sz w:val="24"/>
                <w:szCs w:val="24"/>
              </w:rPr>
            </w:pPr>
            <w:r>
              <w:rPr>
                <w:rFonts w:hint="eastAsia" w:ascii="仿宋" w:hAnsi="仿宋" w:eastAsia="仿宋" w:cs="仿宋"/>
                <w:sz w:val="24"/>
                <w:szCs w:val="24"/>
              </w:rPr>
              <w:t>产品\服务</w:t>
            </w:r>
          </w:p>
        </w:tc>
        <w:tc>
          <w:tcPr>
            <w:tcW w:w="833" w:type="pct"/>
            <w:shd w:val="clear" w:color="auto" w:fill="auto"/>
            <w:tcMar>
              <w:top w:w="0" w:type="dxa"/>
              <w:left w:w="108" w:type="dxa"/>
              <w:bottom w:w="0" w:type="dxa"/>
              <w:right w:w="108" w:type="dxa"/>
            </w:tcMar>
            <w:vAlign w:val="center"/>
          </w:tcPr>
          <w:p w14:paraId="197DB020">
            <w:pPr>
              <w:keepNext w:val="0"/>
              <w:keepLines w:val="0"/>
              <w:pageBreakBefore w:val="0"/>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sz w:val="24"/>
                <w:szCs w:val="24"/>
              </w:rPr>
            </w:pPr>
            <w:r>
              <w:rPr>
                <w:rFonts w:hint="eastAsia" w:ascii="仿宋" w:hAnsi="仿宋" w:eastAsia="仿宋" w:cs="仿宋"/>
                <w:sz w:val="24"/>
                <w:szCs w:val="24"/>
              </w:rPr>
              <w:t>数量</w:t>
            </w:r>
          </w:p>
        </w:tc>
        <w:tc>
          <w:tcPr>
            <w:tcW w:w="666" w:type="pct"/>
            <w:shd w:val="clear" w:color="auto" w:fill="auto"/>
            <w:tcMar>
              <w:top w:w="0" w:type="dxa"/>
              <w:left w:w="108" w:type="dxa"/>
              <w:bottom w:w="0" w:type="dxa"/>
              <w:right w:w="108" w:type="dxa"/>
            </w:tcMar>
            <w:vAlign w:val="center"/>
          </w:tcPr>
          <w:p w14:paraId="1BAD0F9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单位</w:t>
            </w:r>
          </w:p>
        </w:tc>
        <w:tc>
          <w:tcPr>
            <w:tcW w:w="769" w:type="pct"/>
            <w:shd w:val="clear" w:color="auto" w:fill="auto"/>
          </w:tcPr>
          <w:p w14:paraId="602FB284">
            <w:pPr>
              <w:keepNext w:val="0"/>
              <w:keepLines w:val="0"/>
              <w:pageBreakBefore w:val="0"/>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sz w:val="24"/>
                <w:szCs w:val="24"/>
              </w:rPr>
            </w:pPr>
            <w:r>
              <w:rPr>
                <w:rFonts w:hint="eastAsia" w:ascii="仿宋" w:hAnsi="仿宋" w:eastAsia="仿宋" w:cs="仿宋"/>
                <w:sz w:val="24"/>
                <w:szCs w:val="24"/>
              </w:rPr>
              <w:t>备注</w:t>
            </w:r>
          </w:p>
        </w:tc>
      </w:tr>
      <w:tr w14:paraId="54F1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479" w:type="pct"/>
            <w:tcMar>
              <w:top w:w="0" w:type="dxa"/>
              <w:left w:w="108" w:type="dxa"/>
              <w:bottom w:w="0" w:type="dxa"/>
              <w:right w:w="108" w:type="dxa"/>
            </w:tcMar>
            <w:vAlign w:val="center"/>
          </w:tcPr>
          <w:p w14:paraId="44F3A3AA">
            <w:pPr>
              <w:keepNext w:val="0"/>
              <w:keepLines w:val="0"/>
              <w:pageBreakBefore w:val="0"/>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251" w:type="pct"/>
            <w:tcMar>
              <w:top w:w="0" w:type="dxa"/>
              <w:left w:w="108" w:type="dxa"/>
              <w:bottom w:w="0" w:type="dxa"/>
              <w:right w:w="108" w:type="dxa"/>
            </w:tcMar>
            <w:vAlign w:val="center"/>
          </w:tcPr>
          <w:p w14:paraId="30C8FF8B">
            <w:pPr>
              <w:snapToGrid w:val="0"/>
              <w:spacing w:line="288" w:lineRule="auto"/>
              <w:ind w:right="23" w:rightChars="11"/>
              <w:jc w:val="center"/>
              <w:rPr>
                <w:rFonts w:hint="eastAsia" w:ascii="仿宋" w:hAnsi="仿宋" w:eastAsia="仿宋" w:cs="仿宋"/>
                <w:sz w:val="24"/>
                <w:szCs w:val="24"/>
              </w:rPr>
            </w:pPr>
            <w:r>
              <w:rPr>
                <w:rFonts w:hint="eastAsia" w:ascii="仿宋" w:hAnsi="仿宋" w:eastAsia="仿宋" w:cs="仿宋"/>
                <w:kern w:val="0"/>
                <w:sz w:val="21"/>
                <w:szCs w:val="21"/>
                <w:lang w:val="en-US" w:eastAsia="zh-CN"/>
              </w:rPr>
              <w:t>移动签名应用平台</w:t>
            </w:r>
          </w:p>
        </w:tc>
        <w:tc>
          <w:tcPr>
            <w:tcW w:w="833" w:type="pct"/>
            <w:tcMar>
              <w:top w:w="0" w:type="dxa"/>
              <w:left w:w="108" w:type="dxa"/>
              <w:bottom w:w="0" w:type="dxa"/>
              <w:right w:w="108" w:type="dxa"/>
            </w:tcMar>
            <w:vAlign w:val="center"/>
          </w:tcPr>
          <w:p w14:paraId="30B8E13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spacing w:val="20"/>
                <w:sz w:val="21"/>
                <w:szCs w:val="21"/>
                <w:lang w:val="en-US" w:eastAsia="zh-CN"/>
              </w:rPr>
              <w:t>1套</w:t>
            </w:r>
          </w:p>
        </w:tc>
        <w:tc>
          <w:tcPr>
            <w:tcW w:w="666" w:type="pct"/>
            <w:tcMar>
              <w:top w:w="0" w:type="dxa"/>
              <w:left w:w="108" w:type="dxa"/>
              <w:bottom w:w="0" w:type="dxa"/>
              <w:right w:w="108" w:type="dxa"/>
            </w:tcMar>
            <w:vAlign w:val="center"/>
          </w:tcPr>
          <w:p w14:paraId="1EFE15C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spacing w:val="20"/>
                <w:sz w:val="24"/>
                <w:lang w:val="en-US" w:eastAsia="zh-CN"/>
              </w:rPr>
              <w:t>一年</w:t>
            </w:r>
          </w:p>
        </w:tc>
        <w:tc>
          <w:tcPr>
            <w:tcW w:w="769" w:type="pct"/>
            <w:vAlign w:val="center"/>
          </w:tcPr>
          <w:p w14:paraId="621B0071">
            <w:pPr>
              <w:snapToGrid w:val="0"/>
              <w:spacing w:line="288" w:lineRule="auto"/>
              <w:ind w:right="23" w:rightChars="11"/>
              <w:rPr>
                <w:rFonts w:hint="eastAsia" w:ascii="仿宋" w:hAnsi="仿宋" w:eastAsia="仿宋" w:cs="仿宋"/>
                <w:color w:val="auto"/>
                <w:sz w:val="24"/>
                <w:szCs w:val="24"/>
              </w:rPr>
            </w:pPr>
            <w:r>
              <w:rPr>
                <w:rFonts w:hint="eastAsia" w:ascii="仿宋" w:hAnsi="仿宋" w:eastAsia="仿宋" w:cs="仿宋"/>
                <w:color w:val="auto"/>
                <w:kern w:val="0"/>
                <w:sz w:val="21"/>
                <w:szCs w:val="21"/>
                <w:lang w:val="en-US" w:eastAsia="zh-CN"/>
              </w:rPr>
              <w:t>包含云端服务使用、运行维护及远程技术支持等多项服务内容。在维保期间内，部署在云端得服务系统将为医院提供24小时不间断得移动签名服务，保障院内电子签名业务合规有效开展。</w:t>
            </w:r>
          </w:p>
        </w:tc>
      </w:tr>
      <w:tr w14:paraId="7827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479" w:type="pct"/>
            <w:tcMar>
              <w:top w:w="0" w:type="dxa"/>
              <w:left w:w="108" w:type="dxa"/>
              <w:bottom w:w="0" w:type="dxa"/>
              <w:right w:w="108" w:type="dxa"/>
            </w:tcMar>
            <w:vAlign w:val="center"/>
          </w:tcPr>
          <w:p w14:paraId="1F4C9FF2">
            <w:pPr>
              <w:keepNext w:val="0"/>
              <w:keepLines w:val="0"/>
              <w:pageBreakBefore w:val="0"/>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2251" w:type="pct"/>
            <w:tcMar>
              <w:top w:w="0" w:type="dxa"/>
              <w:left w:w="108" w:type="dxa"/>
              <w:bottom w:w="0" w:type="dxa"/>
              <w:right w:w="108" w:type="dxa"/>
            </w:tcMar>
            <w:vAlign w:val="center"/>
          </w:tcPr>
          <w:p w14:paraId="3977B6DD">
            <w:pPr>
              <w:snapToGrid w:val="0"/>
              <w:spacing w:line="288" w:lineRule="auto"/>
              <w:ind w:right="23" w:rightChars="11"/>
              <w:jc w:val="center"/>
              <w:rPr>
                <w:rFonts w:hint="eastAsia" w:ascii="仿宋" w:hAnsi="仿宋" w:eastAsia="仿宋" w:cs="仿宋"/>
                <w:sz w:val="24"/>
                <w:szCs w:val="24"/>
              </w:rPr>
            </w:pPr>
            <w:r>
              <w:rPr>
                <w:rFonts w:hint="eastAsia" w:ascii="仿宋" w:hAnsi="仿宋" w:eastAsia="仿宋" w:cs="仿宋"/>
                <w:kern w:val="0"/>
                <w:sz w:val="21"/>
                <w:szCs w:val="21"/>
                <w:lang w:val="en-US" w:eastAsia="zh-CN"/>
              </w:rPr>
              <w:t>医护移动签名服务</w:t>
            </w:r>
          </w:p>
        </w:tc>
        <w:tc>
          <w:tcPr>
            <w:tcW w:w="833" w:type="pct"/>
            <w:tcMar>
              <w:top w:w="0" w:type="dxa"/>
              <w:left w:w="108" w:type="dxa"/>
              <w:bottom w:w="0" w:type="dxa"/>
              <w:right w:w="108" w:type="dxa"/>
            </w:tcMar>
            <w:vAlign w:val="center"/>
          </w:tcPr>
          <w:p w14:paraId="19C926E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kern w:val="0"/>
                <w:sz w:val="21"/>
                <w:szCs w:val="21"/>
                <w:highlight w:val="none"/>
                <w:lang w:val="en-US" w:eastAsia="zh-CN"/>
              </w:rPr>
              <w:t>550</w:t>
            </w:r>
            <w:r>
              <w:rPr>
                <w:rFonts w:hint="eastAsia" w:ascii="仿宋" w:hAnsi="仿宋" w:eastAsia="仿宋" w:cs="仿宋"/>
                <w:color w:val="auto"/>
                <w:kern w:val="0"/>
                <w:sz w:val="21"/>
                <w:szCs w:val="21"/>
                <w:highlight w:val="none"/>
              </w:rPr>
              <w:t>人/年</w:t>
            </w:r>
          </w:p>
        </w:tc>
        <w:tc>
          <w:tcPr>
            <w:tcW w:w="666" w:type="pct"/>
            <w:tcMar>
              <w:top w:w="0" w:type="dxa"/>
              <w:left w:w="108" w:type="dxa"/>
              <w:bottom w:w="0" w:type="dxa"/>
              <w:right w:w="108" w:type="dxa"/>
            </w:tcMar>
            <w:vAlign w:val="center"/>
          </w:tcPr>
          <w:p w14:paraId="0AABAAD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spacing w:val="20"/>
                <w:sz w:val="24"/>
                <w:lang w:val="en-US" w:eastAsia="zh-CN"/>
              </w:rPr>
              <w:t>一年</w:t>
            </w:r>
          </w:p>
        </w:tc>
        <w:tc>
          <w:tcPr>
            <w:tcW w:w="769" w:type="pct"/>
            <w:vAlign w:val="center"/>
          </w:tcPr>
          <w:p w14:paraId="5D8B47D4">
            <w:pPr>
              <w:snapToGrid w:val="0"/>
              <w:spacing w:line="288" w:lineRule="auto"/>
              <w:ind w:right="23" w:rightChars="11"/>
              <w:rPr>
                <w:rFonts w:hint="eastAsia" w:ascii="仿宋" w:hAnsi="仿宋" w:eastAsia="仿宋" w:cs="仿宋"/>
                <w:color w:val="auto"/>
                <w:sz w:val="24"/>
                <w:szCs w:val="24"/>
              </w:rPr>
            </w:pPr>
            <w:r>
              <w:rPr>
                <w:rFonts w:hint="eastAsia" w:ascii="仿宋" w:hAnsi="仿宋" w:eastAsia="仿宋" w:cs="仿宋"/>
                <w:color w:val="auto"/>
                <w:kern w:val="0"/>
                <w:sz w:val="21"/>
                <w:szCs w:val="21"/>
                <w:lang w:val="en-US" w:eastAsia="zh-CN"/>
              </w:rPr>
              <w:t>包含一年550人医护移动签名服务，为院内医护提供电子签名及24小时技术支持服务，保障院内电子签名业务合规有效开展，用完为止。</w:t>
            </w:r>
          </w:p>
        </w:tc>
      </w:tr>
      <w:tr w14:paraId="3A5A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479" w:type="pct"/>
            <w:tcMar>
              <w:top w:w="0" w:type="dxa"/>
              <w:left w:w="108" w:type="dxa"/>
              <w:bottom w:w="0" w:type="dxa"/>
              <w:right w:w="108" w:type="dxa"/>
            </w:tcMar>
            <w:vAlign w:val="center"/>
          </w:tcPr>
          <w:p w14:paraId="3163C255">
            <w:pPr>
              <w:keepNext w:val="0"/>
              <w:keepLines w:val="0"/>
              <w:pageBreakBefore w:val="0"/>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251" w:type="pct"/>
            <w:tcMar>
              <w:top w:w="0" w:type="dxa"/>
              <w:left w:w="108" w:type="dxa"/>
              <w:bottom w:w="0" w:type="dxa"/>
              <w:right w:w="108" w:type="dxa"/>
            </w:tcMar>
            <w:vAlign w:val="center"/>
          </w:tcPr>
          <w:p w14:paraId="0CBBC87A">
            <w:pPr>
              <w:snapToGrid w:val="0"/>
              <w:spacing w:line="288" w:lineRule="auto"/>
              <w:ind w:right="23" w:rightChars="11"/>
              <w:jc w:val="center"/>
              <w:rPr>
                <w:rFonts w:hint="eastAsia" w:ascii="仿宋" w:hAnsi="仿宋" w:eastAsia="仿宋" w:cs="仿宋"/>
                <w:sz w:val="24"/>
                <w:szCs w:val="24"/>
              </w:rPr>
            </w:pPr>
            <w:r>
              <w:rPr>
                <w:rFonts w:hint="eastAsia" w:ascii="仿宋" w:hAnsi="仿宋" w:eastAsia="仿宋" w:cs="仿宋"/>
                <w:kern w:val="0"/>
                <w:sz w:val="21"/>
                <w:szCs w:val="21"/>
                <w:lang w:val="en-US" w:eastAsia="zh-CN"/>
              </w:rPr>
              <w:t>时间戳服务器</w:t>
            </w:r>
          </w:p>
        </w:tc>
        <w:tc>
          <w:tcPr>
            <w:tcW w:w="833" w:type="pct"/>
            <w:tcMar>
              <w:top w:w="0" w:type="dxa"/>
              <w:left w:w="108" w:type="dxa"/>
              <w:bottom w:w="0" w:type="dxa"/>
              <w:right w:w="108" w:type="dxa"/>
            </w:tcMar>
            <w:vAlign w:val="center"/>
          </w:tcPr>
          <w:p w14:paraId="29F8BF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spacing w:val="20"/>
                <w:sz w:val="21"/>
                <w:szCs w:val="21"/>
                <w:lang w:val="en-US" w:eastAsia="zh-CN"/>
              </w:rPr>
              <w:t>1台</w:t>
            </w:r>
          </w:p>
        </w:tc>
        <w:tc>
          <w:tcPr>
            <w:tcW w:w="666" w:type="pct"/>
            <w:tcMar>
              <w:top w:w="0" w:type="dxa"/>
              <w:left w:w="108" w:type="dxa"/>
              <w:bottom w:w="0" w:type="dxa"/>
              <w:right w:w="108" w:type="dxa"/>
            </w:tcMar>
            <w:vAlign w:val="center"/>
          </w:tcPr>
          <w:p w14:paraId="6EF53E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spacing w:val="20"/>
                <w:sz w:val="24"/>
                <w:lang w:val="en-US" w:eastAsia="zh-CN"/>
              </w:rPr>
              <w:t>一年</w:t>
            </w:r>
          </w:p>
        </w:tc>
        <w:tc>
          <w:tcPr>
            <w:tcW w:w="769" w:type="pct"/>
            <w:vAlign w:val="center"/>
          </w:tcPr>
          <w:p w14:paraId="3B9E1E59">
            <w:pPr>
              <w:snapToGrid w:val="0"/>
              <w:spacing w:line="288" w:lineRule="auto"/>
              <w:ind w:right="23" w:rightChars="11"/>
              <w:rPr>
                <w:rFonts w:hint="eastAsia" w:ascii="仿宋" w:hAnsi="仿宋" w:eastAsia="仿宋" w:cs="仿宋"/>
                <w:color w:val="auto"/>
                <w:sz w:val="24"/>
                <w:szCs w:val="24"/>
              </w:rPr>
            </w:pPr>
            <w:r>
              <w:rPr>
                <w:rFonts w:hint="eastAsia" w:ascii="仿宋" w:hAnsi="仿宋" w:eastAsia="仿宋" w:cs="仿宋"/>
                <w:color w:val="auto"/>
                <w:kern w:val="0"/>
                <w:sz w:val="21"/>
                <w:szCs w:val="21"/>
                <w:lang w:val="en-US" w:eastAsia="zh-CN"/>
              </w:rPr>
              <w:t>包含系统定期检查、故障排查与修复、软件更新与升级、安全维护以及电话和远程技术支持等多项服务内容。在维保时间内，专业技术人员将确保设备的稳定运行，及时处理可能出现的各类问题，最大限度地减少因设备故障带来的影响。同时，维保服务还提供详细的维护报告，让用户能够清晰了解设备的运行状态和维护情况。</w:t>
            </w:r>
          </w:p>
        </w:tc>
      </w:tr>
      <w:tr w14:paraId="0C8B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479" w:type="pct"/>
            <w:tcMar>
              <w:top w:w="0" w:type="dxa"/>
              <w:left w:w="108" w:type="dxa"/>
              <w:bottom w:w="0" w:type="dxa"/>
              <w:right w:w="108" w:type="dxa"/>
            </w:tcMar>
            <w:vAlign w:val="center"/>
          </w:tcPr>
          <w:p w14:paraId="72DD2CF5">
            <w:pPr>
              <w:keepNext w:val="0"/>
              <w:keepLines w:val="0"/>
              <w:pageBreakBefore w:val="0"/>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2251" w:type="pct"/>
            <w:tcMar>
              <w:top w:w="0" w:type="dxa"/>
              <w:left w:w="108" w:type="dxa"/>
              <w:bottom w:w="0" w:type="dxa"/>
              <w:right w:w="108" w:type="dxa"/>
            </w:tcMar>
            <w:vAlign w:val="center"/>
          </w:tcPr>
          <w:p w14:paraId="6CBAD65C">
            <w:pPr>
              <w:snapToGrid w:val="0"/>
              <w:spacing w:line="288" w:lineRule="auto"/>
              <w:ind w:right="23" w:rightChars="11"/>
              <w:jc w:val="center"/>
              <w:rPr>
                <w:rFonts w:hint="eastAsia" w:ascii="仿宋" w:hAnsi="仿宋" w:eastAsia="仿宋" w:cs="仿宋"/>
                <w:sz w:val="24"/>
                <w:szCs w:val="24"/>
              </w:rPr>
            </w:pPr>
            <w:r>
              <w:rPr>
                <w:rFonts w:hint="eastAsia" w:ascii="仿宋" w:hAnsi="仿宋" w:eastAsia="仿宋" w:cs="仿宋"/>
                <w:kern w:val="0"/>
                <w:sz w:val="21"/>
                <w:szCs w:val="21"/>
                <w:lang w:val="en-US" w:eastAsia="zh-CN"/>
              </w:rPr>
              <w:t>手写数字签名服务器</w:t>
            </w:r>
          </w:p>
        </w:tc>
        <w:tc>
          <w:tcPr>
            <w:tcW w:w="833" w:type="pct"/>
            <w:tcMar>
              <w:top w:w="0" w:type="dxa"/>
              <w:left w:w="108" w:type="dxa"/>
              <w:bottom w:w="0" w:type="dxa"/>
              <w:right w:w="108" w:type="dxa"/>
            </w:tcMar>
            <w:vAlign w:val="center"/>
          </w:tcPr>
          <w:p w14:paraId="3F3EDAE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spacing w:val="20"/>
                <w:sz w:val="21"/>
                <w:szCs w:val="21"/>
                <w:lang w:val="en-US" w:eastAsia="zh-CN"/>
              </w:rPr>
              <w:t>1台</w:t>
            </w:r>
          </w:p>
        </w:tc>
        <w:tc>
          <w:tcPr>
            <w:tcW w:w="666" w:type="pct"/>
            <w:tcMar>
              <w:top w:w="0" w:type="dxa"/>
              <w:left w:w="108" w:type="dxa"/>
              <w:bottom w:w="0" w:type="dxa"/>
              <w:right w:w="108" w:type="dxa"/>
            </w:tcMar>
            <w:vAlign w:val="center"/>
          </w:tcPr>
          <w:p w14:paraId="2A583E3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spacing w:val="20"/>
                <w:sz w:val="24"/>
                <w:lang w:val="en-US" w:eastAsia="zh-CN"/>
              </w:rPr>
              <w:t>一年</w:t>
            </w:r>
          </w:p>
        </w:tc>
        <w:tc>
          <w:tcPr>
            <w:tcW w:w="769" w:type="pct"/>
            <w:vAlign w:val="center"/>
          </w:tcPr>
          <w:p w14:paraId="0E53ABAF">
            <w:pPr>
              <w:snapToGrid w:val="0"/>
              <w:spacing w:line="288" w:lineRule="auto"/>
              <w:ind w:right="23" w:rightChars="11"/>
              <w:rPr>
                <w:rFonts w:hint="eastAsia" w:ascii="仿宋" w:hAnsi="仿宋" w:eastAsia="仿宋" w:cs="仿宋"/>
                <w:color w:val="auto"/>
                <w:sz w:val="24"/>
                <w:szCs w:val="24"/>
              </w:rPr>
            </w:pPr>
            <w:r>
              <w:rPr>
                <w:rFonts w:hint="eastAsia" w:ascii="仿宋" w:hAnsi="仿宋" w:eastAsia="仿宋" w:cs="仿宋"/>
                <w:color w:val="auto"/>
                <w:kern w:val="0"/>
                <w:sz w:val="21"/>
                <w:szCs w:val="21"/>
                <w:lang w:val="en-US" w:eastAsia="zh-CN"/>
              </w:rPr>
              <w:t>包含系统定期检查、故障排查与修复、软件更新与升级、安全维护以及电话和远程技术支持等多项服务内容。在维保时间内，专业技术人员将确保设备的稳定运行，及时处理可能出现的各类问题，最大限度地减少因设备故障带来的影响。同时，维保服务还提供详细的维护报告，让用户能够清晰了解设备的运行状态和维护情况。</w:t>
            </w:r>
          </w:p>
        </w:tc>
      </w:tr>
      <w:tr w14:paraId="7DAA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479" w:type="pct"/>
            <w:tcMar>
              <w:top w:w="0" w:type="dxa"/>
              <w:left w:w="108" w:type="dxa"/>
              <w:bottom w:w="0" w:type="dxa"/>
              <w:right w:w="108" w:type="dxa"/>
            </w:tcMar>
            <w:vAlign w:val="center"/>
          </w:tcPr>
          <w:p w14:paraId="33792CC4">
            <w:pPr>
              <w:keepNext w:val="0"/>
              <w:keepLines w:val="0"/>
              <w:pageBreakBefore w:val="0"/>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bookmarkStart w:id="10" w:name="_GoBack"/>
            <w:bookmarkEnd w:id="10"/>
          </w:p>
        </w:tc>
        <w:tc>
          <w:tcPr>
            <w:tcW w:w="2251" w:type="pct"/>
            <w:tcMar>
              <w:top w:w="0" w:type="dxa"/>
              <w:left w:w="108" w:type="dxa"/>
              <w:bottom w:w="0" w:type="dxa"/>
              <w:right w:w="108" w:type="dxa"/>
            </w:tcMar>
            <w:vAlign w:val="center"/>
          </w:tcPr>
          <w:p w14:paraId="19261A7A">
            <w:pPr>
              <w:snapToGrid w:val="0"/>
              <w:spacing w:line="288" w:lineRule="auto"/>
              <w:ind w:right="23" w:rightChars="11"/>
              <w:jc w:val="center"/>
              <w:rPr>
                <w:rFonts w:hint="eastAsia" w:ascii="仿宋" w:hAnsi="仿宋" w:eastAsia="仿宋" w:cs="仿宋"/>
                <w:sz w:val="24"/>
                <w:szCs w:val="24"/>
              </w:rPr>
            </w:pPr>
            <w:r>
              <w:rPr>
                <w:rFonts w:hint="eastAsia" w:ascii="仿宋" w:hAnsi="仿宋" w:eastAsia="仿宋" w:cs="仿宋"/>
                <w:kern w:val="0"/>
                <w:sz w:val="21"/>
                <w:szCs w:val="21"/>
                <w:lang w:val="en-US" w:eastAsia="zh-CN"/>
              </w:rPr>
              <w:t>手写数字签名板</w:t>
            </w:r>
          </w:p>
        </w:tc>
        <w:tc>
          <w:tcPr>
            <w:tcW w:w="833" w:type="pct"/>
            <w:tcMar>
              <w:top w:w="0" w:type="dxa"/>
              <w:left w:w="108" w:type="dxa"/>
              <w:bottom w:w="0" w:type="dxa"/>
              <w:right w:w="108" w:type="dxa"/>
            </w:tcMar>
            <w:vAlign w:val="center"/>
          </w:tcPr>
          <w:p w14:paraId="3870761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spacing w:val="20"/>
                <w:sz w:val="21"/>
                <w:szCs w:val="21"/>
                <w:lang w:val="en-US" w:eastAsia="zh-CN"/>
              </w:rPr>
              <w:t>55台</w:t>
            </w:r>
          </w:p>
        </w:tc>
        <w:tc>
          <w:tcPr>
            <w:tcW w:w="666" w:type="pct"/>
            <w:tcMar>
              <w:top w:w="0" w:type="dxa"/>
              <w:left w:w="108" w:type="dxa"/>
              <w:bottom w:w="0" w:type="dxa"/>
              <w:right w:w="108" w:type="dxa"/>
            </w:tcMar>
            <w:vAlign w:val="center"/>
          </w:tcPr>
          <w:p w14:paraId="4018F0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仿宋" w:hAnsi="仿宋" w:eastAsia="仿宋" w:cs="仿宋"/>
                <w:color w:val="auto"/>
                <w:sz w:val="24"/>
                <w:szCs w:val="24"/>
              </w:rPr>
            </w:pPr>
            <w:r>
              <w:rPr>
                <w:rFonts w:hint="eastAsia" w:ascii="仿宋" w:hAnsi="仿宋" w:eastAsia="仿宋" w:cs="仿宋"/>
                <w:color w:val="auto"/>
                <w:spacing w:val="20"/>
                <w:sz w:val="24"/>
                <w:lang w:val="en-US" w:eastAsia="zh-CN"/>
              </w:rPr>
              <w:t>一年</w:t>
            </w:r>
          </w:p>
        </w:tc>
        <w:tc>
          <w:tcPr>
            <w:tcW w:w="769" w:type="pct"/>
            <w:vAlign w:val="center"/>
          </w:tcPr>
          <w:p w14:paraId="4EFC0F5F">
            <w:pPr>
              <w:snapToGrid w:val="0"/>
              <w:spacing w:line="288" w:lineRule="auto"/>
              <w:ind w:right="23" w:rightChars="11"/>
              <w:rPr>
                <w:rFonts w:hint="eastAsia" w:ascii="仿宋" w:hAnsi="仿宋" w:eastAsia="仿宋" w:cs="仿宋"/>
                <w:color w:val="auto"/>
                <w:sz w:val="24"/>
                <w:szCs w:val="24"/>
              </w:rPr>
            </w:pPr>
            <w:r>
              <w:rPr>
                <w:rFonts w:hint="eastAsia" w:ascii="仿宋" w:hAnsi="仿宋" w:eastAsia="仿宋" w:cs="仿宋"/>
                <w:color w:val="auto"/>
                <w:kern w:val="0"/>
                <w:sz w:val="21"/>
                <w:szCs w:val="21"/>
                <w:lang w:val="en-US" w:eastAsia="zh-CN"/>
              </w:rPr>
              <w:t>包含系统定期检查、故障排查与修复、备件替换、软件更新与升级、安全维护以及电话和远程技术支持等多项服务内容。在维保时间内，专业技术人员将确保设备的稳定运行，及时处理可能出现的各类问题，最大限度地减少因设备故障带来的影响。</w:t>
            </w:r>
          </w:p>
        </w:tc>
      </w:tr>
    </w:tbl>
    <w:p w14:paraId="47980AF9">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五、维保服务及手机云签名服务建设要求</w:t>
      </w:r>
    </w:p>
    <w:p w14:paraId="2397855D">
      <w:pPr>
        <w:pStyle w:val="7"/>
        <w:keepNext w:val="0"/>
        <w:keepLines w:val="0"/>
        <w:pageBreakBefore w:val="0"/>
        <w:kinsoku/>
        <w:wordWrap/>
        <w:overflowPunct/>
        <w:topLinePunct w:val="0"/>
        <w:autoSpaceDE/>
        <w:autoSpaceDN/>
        <w:bidi w:val="0"/>
        <w:adjustRightInd w:val="0"/>
        <w:snapToGrid w:val="0"/>
        <w:spacing w:before="0"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服务应满足如下要求：</w:t>
      </w:r>
    </w:p>
    <w:p w14:paraId="3D5D3C28">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1、维保服务内容说明</w:t>
      </w:r>
    </w:p>
    <w:p w14:paraId="508D81EB">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1.1系统运维支持服务</w:t>
      </w:r>
    </w:p>
    <w:p w14:paraId="017F101E">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在售后技术支持与服务期内，由有经验的高水平技术人员在现场协助建立相应的运维体系及指导相应的日常维护工作，进行相关日常安全管理规范和标准的制定及修订。</w:t>
      </w:r>
    </w:p>
    <w:p w14:paraId="1C3D2C83">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系统运行监控：在系统设备试运行期间，需指派技术人员到现场指导维护工作。在系统正式运行期间，为医院提供系统运行监控服务，发现问题及时上报，并在最短时间内进行响应，提升应急响应服务能力，最大限度保证系统的安全、可靠运行。</w:t>
      </w:r>
    </w:p>
    <w:p w14:paraId="363A5476">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数据备份、灾难恢复：为防止系统出现操作失误或系统故障导致数据丢失，通过完全备份、增量备份、差分备份多种备份策略完成重要数据的安全备份。在</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"http://baike.baidu.com/view/7932.htm" \t "_blank" </w:instrText>
      </w:r>
      <w:r>
        <w:rPr>
          <w:rFonts w:hint="eastAsia" w:ascii="仿宋" w:hAnsi="仿宋" w:eastAsia="仿宋" w:cs="仿宋"/>
          <w:sz w:val="24"/>
          <w:szCs w:val="24"/>
        </w:rPr>
        <w:fldChar w:fldCharType="separate"/>
      </w:r>
      <w:r>
        <w:rPr>
          <w:rFonts w:hint="eastAsia" w:ascii="仿宋" w:hAnsi="仿宋" w:eastAsia="仿宋" w:cs="仿宋"/>
          <w:sz w:val="24"/>
          <w:szCs w:val="24"/>
        </w:rPr>
        <w:t>自然</w:t>
      </w:r>
      <w:r>
        <w:rPr>
          <w:rFonts w:hint="eastAsia" w:ascii="仿宋" w:hAnsi="仿宋" w:eastAsia="仿宋" w:cs="仿宋"/>
          <w:sz w:val="24"/>
          <w:szCs w:val="24"/>
        </w:rPr>
        <w:fldChar w:fldCharType="end"/>
      </w:r>
      <w:r>
        <w:rPr>
          <w:rFonts w:hint="eastAsia" w:ascii="仿宋" w:hAnsi="仿宋" w:eastAsia="仿宋" w:cs="仿宋"/>
          <w:sz w:val="24"/>
          <w:szCs w:val="24"/>
        </w:rPr>
        <w:t>或</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"http://baike.baidu.com/view/1214109.htm" \t "_blank" </w:instrText>
      </w:r>
      <w:r>
        <w:rPr>
          <w:rFonts w:hint="eastAsia" w:ascii="仿宋" w:hAnsi="仿宋" w:eastAsia="仿宋" w:cs="仿宋"/>
          <w:sz w:val="24"/>
          <w:szCs w:val="24"/>
        </w:rPr>
        <w:fldChar w:fldCharType="separate"/>
      </w:r>
      <w:r>
        <w:rPr>
          <w:rFonts w:hint="eastAsia" w:ascii="仿宋" w:hAnsi="仿宋" w:eastAsia="仿宋" w:cs="仿宋"/>
          <w:sz w:val="24"/>
          <w:szCs w:val="24"/>
        </w:rPr>
        <w:t>人为</w:t>
      </w:r>
      <w:r>
        <w:rPr>
          <w:rFonts w:hint="eastAsia" w:ascii="仿宋" w:hAnsi="仿宋" w:eastAsia="仿宋" w:cs="仿宋"/>
          <w:sz w:val="24"/>
          <w:szCs w:val="24"/>
        </w:rPr>
        <w:fldChar w:fldCharType="end"/>
      </w:r>
      <w:r>
        <w:rPr>
          <w:rFonts w:hint="eastAsia" w:ascii="仿宋" w:hAnsi="仿宋" w:eastAsia="仿宋" w:cs="仿宋"/>
          <w:sz w:val="24"/>
          <w:szCs w:val="24"/>
        </w:rPr>
        <w:t>灾害后，重新启用</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"http://baike.baidu.com/view/49091.htm" \t "_blank" </w:instrText>
      </w:r>
      <w:r>
        <w:rPr>
          <w:rFonts w:hint="eastAsia" w:ascii="仿宋" w:hAnsi="仿宋" w:eastAsia="仿宋" w:cs="仿宋"/>
          <w:sz w:val="24"/>
          <w:szCs w:val="24"/>
        </w:rPr>
        <w:fldChar w:fldCharType="separate"/>
      </w:r>
      <w:r>
        <w:rPr>
          <w:rFonts w:hint="eastAsia" w:ascii="仿宋" w:hAnsi="仿宋" w:eastAsia="仿宋" w:cs="仿宋"/>
          <w:sz w:val="24"/>
          <w:szCs w:val="24"/>
        </w:rPr>
        <w:t>系</w:t>
      </w:r>
      <w:r>
        <w:rPr>
          <w:rFonts w:hint="eastAsia" w:ascii="仿宋" w:hAnsi="仿宋" w:eastAsia="仿宋" w:cs="仿宋"/>
          <w:sz w:val="24"/>
          <w:szCs w:val="24"/>
        </w:rPr>
        <w:fldChar w:fldCharType="end"/>
      </w:r>
      <w:r>
        <w:rPr>
          <w:rFonts w:hint="eastAsia" w:ascii="仿宋" w:hAnsi="仿宋" w:eastAsia="仿宋" w:cs="仿宋"/>
          <w:sz w:val="24"/>
          <w:szCs w:val="24"/>
        </w:rPr>
        <w:t>统的数据、</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"http://baike.baidu.com/view/25278.htm" \t "_blank" </w:instrText>
      </w:r>
      <w:r>
        <w:rPr>
          <w:rFonts w:hint="eastAsia" w:ascii="仿宋" w:hAnsi="仿宋" w:eastAsia="仿宋" w:cs="仿宋"/>
          <w:sz w:val="24"/>
          <w:szCs w:val="24"/>
        </w:rPr>
        <w:fldChar w:fldCharType="separate"/>
      </w:r>
      <w:r>
        <w:rPr>
          <w:rFonts w:hint="eastAsia" w:ascii="仿宋" w:hAnsi="仿宋" w:eastAsia="仿宋" w:cs="仿宋"/>
          <w:sz w:val="24"/>
          <w:szCs w:val="24"/>
        </w:rPr>
        <w:t>硬件</w:t>
      </w:r>
      <w:r>
        <w:rPr>
          <w:rFonts w:hint="eastAsia" w:ascii="仿宋" w:hAnsi="仿宋" w:eastAsia="仿宋" w:cs="仿宋"/>
          <w:sz w:val="24"/>
          <w:szCs w:val="24"/>
        </w:rPr>
        <w:fldChar w:fldCharType="end"/>
      </w:r>
      <w:r>
        <w:rPr>
          <w:rFonts w:hint="eastAsia" w:ascii="仿宋" w:hAnsi="仿宋" w:eastAsia="仿宋" w:cs="仿宋"/>
          <w:sz w:val="24"/>
          <w:szCs w:val="24"/>
        </w:rPr>
        <w:t>及</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"http://baike.baidu.com/view/37.htm" \t "_blank" </w:instrText>
      </w:r>
      <w:r>
        <w:rPr>
          <w:rFonts w:hint="eastAsia" w:ascii="仿宋" w:hAnsi="仿宋" w:eastAsia="仿宋" w:cs="仿宋"/>
          <w:sz w:val="24"/>
          <w:szCs w:val="24"/>
        </w:rPr>
        <w:fldChar w:fldCharType="separate"/>
      </w:r>
      <w:r>
        <w:rPr>
          <w:rFonts w:hint="eastAsia" w:ascii="仿宋" w:hAnsi="仿宋" w:eastAsia="仿宋" w:cs="仿宋"/>
          <w:sz w:val="24"/>
          <w:szCs w:val="24"/>
        </w:rPr>
        <w:t>软件</w:t>
      </w:r>
      <w:r>
        <w:rPr>
          <w:rFonts w:hint="eastAsia" w:ascii="仿宋" w:hAnsi="仿宋" w:eastAsia="仿宋" w:cs="仿宋"/>
          <w:sz w:val="24"/>
          <w:szCs w:val="24"/>
        </w:rPr>
        <w:fldChar w:fldCharType="end"/>
      </w:r>
      <w:r>
        <w:rPr>
          <w:rFonts w:hint="eastAsia" w:ascii="仿宋" w:hAnsi="仿宋" w:eastAsia="仿宋" w:cs="仿宋"/>
          <w:sz w:val="24"/>
          <w:szCs w:val="24"/>
        </w:rPr>
        <w:t>设备，恢复电子认证系统的正常运行，尽量减少灾难带来的损失。</w:t>
      </w:r>
    </w:p>
    <w:p w14:paraId="42C74E12">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硬件设备维护：对故障设备提供备机服务和维修服务，及时解决硬件故障，保障系统稳定运行。</w:t>
      </w:r>
    </w:p>
    <w:p w14:paraId="5FAB15BE">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服务成果交付：</w:t>
      </w:r>
    </w:p>
    <w:p w14:paraId="55344A9A">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《电子认证应用平台安全管理规范和标准》</w:t>
      </w:r>
    </w:p>
    <w:p w14:paraId="68389C26">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《技术支持运维服务报告》</w:t>
      </w:r>
    </w:p>
    <w:p w14:paraId="61A8D762">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1.2应用系统接口调试服务</w:t>
      </w:r>
    </w:p>
    <w:p w14:paraId="65D2D10A">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bookmarkStart w:id="0" w:name="_Toc278616695"/>
      <w:r>
        <w:rPr>
          <w:rFonts w:hint="eastAsia" w:ascii="仿宋" w:hAnsi="仿宋" w:eastAsia="仿宋" w:cs="仿宋"/>
          <w:b/>
          <w:sz w:val="24"/>
          <w:szCs w:val="24"/>
        </w:rPr>
        <w:t>服务目的</w:t>
      </w:r>
      <w:bookmarkEnd w:id="0"/>
      <w:r>
        <w:rPr>
          <w:rFonts w:hint="eastAsia" w:ascii="仿宋" w:hAnsi="仿宋" w:eastAsia="仿宋" w:cs="仿宋"/>
          <w:b/>
          <w:sz w:val="24"/>
          <w:szCs w:val="24"/>
        </w:rPr>
        <w:t>：</w:t>
      </w:r>
    </w:p>
    <w:p w14:paraId="11984140">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为完成电子认证应用平台与医院现有应用系统的结合，进一步扩展电子认证在医院信息系统中的应用，与第三方厂商一起，完成与现有应用系统的接口调试服务。</w:t>
      </w:r>
    </w:p>
    <w:p w14:paraId="4861D6F7">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服务内容：</w:t>
      </w:r>
    </w:p>
    <w:p w14:paraId="2C6ABA70">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向现有应用系统的第三方厂商技术人员提供电子认证系统应用开发接口软件、文档；</w:t>
      </w:r>
    </w:p>
    <w:p w14:paraId="6E08B136">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对医院以及第三方厂商在开发、配置和集成电子认证系统应用接口时，提供现场开发支持服务；</w:t>
      </w:r>
    </w:p>
    <w:p w14:paraId="561BFAAE">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服务成果交付：</w:t>
      </w:r>
    </w:p>
    <w:p w14:paraId="3A660E42">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《应用开发接口说明》</w:t>
      </w:r>
    </w:p>
    <w:p w14:paraId="1C15946D">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1.3软件升级服务</w:t>
      </w:r>
    </w:p>
    <w:p w14:paraId="245C1D97">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服务目的：</w:t>
      </w:r>
    </w:p>
    <w:p w14:paraId="2279CCD0">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bookmarkStart w:id="1" w:name="_Hlk51231727"/>
      <w:r>
        <w:rPr>
          <w:rFonts w:hint="eastAsia" w:ascii="仿宋" w:hAnsi="仿宋" w:eastAsia="仿宋" w:cs="仿宋"/>
          <w:sz w:val="24"/>
          <w:szCs w:val="24"/>
        </w:rPr>
        <w:t>为修改和完善医院应用安全保障系统，满足业务发展需要，在服务期内，在系统需要进行扩容或软件升级时，升级现有的软件系统，更正系统存在的问题，使系统运行更加人性化，产品功能设计更加合理化</w:t>
      </w:r>
      <w:bookmarkEnd w:id="1"/>
      <w:r>
        <w:rPr>
          <w:rFonts w:hint="eastAsia" w:ascii="仿宋" w:hAnsi="仿宋" w:eastAsia="仿宋" w:cs="仿宋"/>
          <w:sz w:val="24"/>
          <w:szCs w:val="24"/>
        </w:rPr>
        <w:t>。</w:t>
      </w:r>
    </w:p>
    <w:p w14:paraId="3D4F465A">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服务内容：</w:t>
      </w:r>
    </w:p>
    <w:p w14:paraId="051E9C0E">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在征得我院同意后，对系统提供软件升级服务；</w:t>
      </w:r>
    </w:p>
    <w:p w14:paraId="1C946385">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制订软件产品升级方案，确定升级的可行性，在系统扩容及软件升级时，派遣技术人员到场指导；</w:t>
      </w:r>
    </w:p>
    <w:p w14:paraId="4F8654D2">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在服务期内针对软件系统的升级，需提供就升级工作及引起的系统使用变化进行免费的培训；</w:t>
      </w:r>
    </w:p>
    <w:p w14:paraId="63295F5F">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提供相应的新版本软件功能说明书及修改说明书等相关技术文档。</w:t>
      </w:r>
    </w:p>
    <w:p w14:paraId="1B9A5A0E">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服务成果交付：</w:t>
      </w:r>
    </w:p>
    <w:p w14:paraId="5D9E12FF">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《系统升级方案》</w:t>
      </w:r>
    </w:p>
    <w:p w14:paraId="63FD06B8">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1.4性能调优服务</w:t>
      </w:r>
    </w:p>
    <w:p w14:paraId="28A94C94">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bookmarkStart w:id="2" w:name="_Toc278616705"/>
      <w:r>
        <w:rPr>
          <w:rFonts w:hint="eastAsia" w:ascii="仿宋" w:hAnsi="仿宋" w:eastAsia="仿宋" w:cs="仿宋"/>
          <w:b/>
          <w:sz w:val="24"/>
          <w:szCs w:val="24"/>
        </w:rPr>
        <w:t>服务目的</w:t>
      </w:r>
      <w:bookmarkEnd w:id="2"/>
      <w:r>
        <w:rPr>
          <w:rFonts w:hint="eastAsia" w:ascii="仿宋" w:hAnsi="仿宋" w:eastAsia="仿宋" w:cs="仿宋"/>
          <w:b/>
          <w:sz w:val="24"/>
          <w:szCs w:val="24"/>
        </w:rPr>
        <w:t>：</w:t>
      </w:r>
    </w:p>
    <w:p w14:paraId="4D5034E2">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通过定期对系统进行配置修改或者调整来优化系统，避免系统在大业务量的情况下出现异常状况。根据性能调优需求对绍兴市</w:t>
      </w:r>
      <w:r>
        <w:rPr>
          <w:rFonts w:hint="eastAsia" w:ascii="仿宋" w:hAnsi="仿宋" w:eastAsia="仿宋" w:cs="仿宋"/>
          <w:sz w:val="24"/>
          <w:szCs w:val="24"/>
          <w:lang w:eastAsia="zh-CN"/>
        </w:rPr>
        <w:t>第七人民医院</w:t>
      </w:r>
      <w:r>
        <w:rPr>
          <w:rFonts w:hint="eastAsia" w:ascii="仿宋" w:hAnsi="仿宋" w:eastAsia="仿宋" w:cs="仿宋"/>
          <w:sz w:val="24"/>
          <w:szCs w:val="24"/>
        </w:rPr>
        <w:t>电子认证应用平台进行性能测试，找出系统性能瓶颈，通过对测试结果的收集分析，提供性能优化方案。调整运行参数，包括并发处理数、响应时间等，达到合理的硬件和软件配置，使系统资源使用达到平衡、系统处于最佳运行状态，最终达到系统在大业务量情况下稳定运行的目的。</w:t>
      </w:r>
    </w:p>
    <w:p w14:paraId="670A1D64">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服务内容：</w:t>
      </w:r>
    </w:p>
    <w:p w14:paraId="44AE30B4">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针对绍兴市</w:t>
      </w:r>
      <w:r>
        <w:rPr>
          <w:rFonts w:hint="eastAsia" w:ascii="仿宋" w:hAnsi="仿宋" w:eastAsia="仿宋" w:cs="仿宋"/>
          <w:sz w:val="24"/>
          <w:szCs w:val="24"/>
          <w:lang w:eastAsia="zh-CN"/>
        </w:rPr>
        <w:t>第七人民医院</w:t>
      </w:r>
      <w:r>
        <w:rPr>
          <w:rFonts w:hint="eastAsia" w:ascii="仿宋" w:hAnsi="仿宋" w:eastAsia="仿宋" w:cs="仿宋"/>
          <w:sz w:val="24"/>
          <w:szCs w:val="24"/>
        </w:rPr>
        <w:t>电子认证应用平台，性能调优服务从以下几个方面进行：</w:t>
      </w:r>
    </w:p>
    <w:p w14:paraId="438680A0">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（1）制定测试方法</w:t>
      </w:r>
    </w:p>
    <w:p w14:paraId="2C63CB10">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测试方法主要通过测试过程中的测试步骤体现出来。测试步骤根据每次的测试结果不断调整。在开始性能调整循环之前，确定以下两点：一是建立业务模型，通过统计或数学模型的方法建立起科学的业务模型，如业务流程分布比例、平均负荷、峰值负载等；二是设置性能指标，作为判断设计指标和实际性能处理指标的基准值，包括总体的系统吞吐量、系统的吞吐效率、响应时延等。 </w:t>
      </w:r>
    </w:p>
    <w:p w14:paraId="25D98AC7">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（2）测试方案实施</w:t>
      </w:r>
    </w:p>
    <w:p w14:paraId="5EF38A4C">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测试阶段是调整循环操作的起点，根据测试的要求进行相关操作，为下一步结果统计提供相应的测试数据。测试前需要对环境配置进行详细的检查，包括网络连通性、系统配置（包括软件版本和硬件配置）、参数配置等，按照测试用例规定的内容去逐步完成测试操作，测试用例内容分成测试环境配置、预置条件、测试步骤、预期结果、判定原则、测试结果六个方面。</w:t>
      </w:r>
    </w:p>
    <w:p w14:paraId="289B74E8">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（3）测试结果统计</w:t>
      </w:r>
    </w:p>
    <w:p w14:paraId="6519F614">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统计的数据来源于上一次的测试结果，并为下一步的数据分析提供相关数据。测试结果的统计可以来源于被测电子认证应用系统和测试工具本身两个方面，在统计过程中不但要考虑到被测系统中的统计数据还要兼顾到测试工具本身的数据统计。从医院系统相关设备的日志统计出系统消耗(如CPU、内存的占用率等)；从测试工具统计出压力的大小、业务处理时延、业务处理成功率等指标。将以上两个方面的数据一并统计出来，为下一步数据分析提供重要依据。</w:t>
      </w:r>
    </w:p>
    <w:p w14:paraId="695FA146">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（4）测试结果分析</w:t>
      </w:r>
    </w:p>
    <w:p w14:paraId="12EBF248">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通过数据统计收集到系统所需的性能数据后，对这些数据进行分析以确定系统瓶颈。通过测试数据的表象，从系统的角度对数据进行分析，发现系统瓶颈。测试结果分析分成六步进行，包括观察、初步假设、预测、测试、控制和结论，结论由该过程积累的最佳证据集合所支持的假设组成。 </w:t>
      </w:r>
    </w:p>
    <w:p w14:paraId="0D888A8B">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（5）性能调优</w:t>
      </w:r>
    </w:p>
    <w:p w14:paraId="0A1D337D">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测试、结果统计、结果分析的最终目的是要对系统进行优化。系统优化的依据直接来源于对测试结果的分析。从硬件资源、操作系统、数据库、服务器软件及应用程序等方面对系统进行配置更改及优化，实现了配置更改后，对修改后的系统进行测试，确定更改对系统所产生的影响，保证系统性能提高到预期的水平，完成性能优化服务。</w:t>
      </w:r>
    </w:p>
    <w:p w14:paraId="3D1D7CCE">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bookmarkStart w:id="3" w:name="_Toc278616707"/>
      <w:r>
        <w:rPr>
          <w:rFonts w:hint="eastAsia" w:ascii="仿宋" w:hAnsi="仿宋" w:eastAsia="仿宋" w:cs="仿宋"/>
          <w:b/>
          <w:sz w:val="24"/>
          <w:szCs w:val="24"/>
        </w:rPr>
        <w:t>服务成果交付</w:t>
      </w:r>
      <w:bookmarkEnd w:id="3"/>
      <w:r>
        <w:rPr>
          <w:rFonts w:hint="eastAsia" w:ascii="仿宋" w:hAnsi="仿宋" w:eastAsia="仿宋" w:cs="仿宋"/>
          <w:b/>
          <w:sz w:val="24"/>
          <w:szCs w:val="24"/>
        </w:rPr>
        <w:t>：</w:t>
      </w:r>
    </w:p>
    <w:p w14:paraId="03909C4D">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《电子认证应用平台性能测试报告》</w:t>
      </w:r>
    </w:p>
    <w:p w14:paraId="5CDF8B41">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《电子认证应用平台性能优化方案》</w:t>
      </w:r>
    </w:p>
    <w:p w14:paraId="7F014EC1">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1.5应急响应服务</w:t>
      </w:r>
    </w:p>
    <w:p w14:paraId="7DBB4653">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bookmarkStart w:id="4" w:name="_Toc278616709"/>
      <w:r>
        <w:rPr>
          <w:rFonts w:hint="eastAsia" w:ascii="仿宋" w:hAnsi="仿宋" w:eastAsia="仿宋" w:cs="仿宋"/>
          <w:b/>
          <w:sz w:val="24"/>
          <w:szCs w:val="24"/>
        </w:rPr>
        <w:t>服务目的</w:t>
      </w:r>
      <w:bookmarkEnd w:id="4"/>
      <w:r>
        <w:rPr>
          <w:rFonts w:hint="eastAsia" w:ascii="仿宋" w:hAnsi="仿宋" w:eastAsia="仿宋" w:cs="仿宋"/>
          <w:b/>
          <w:sz w:val="24"/>
          <w:szCs w:val="24"/>
        </w:rPr>
        <w:t>：</w:t>
      </w:r>
    </w:p>
    <w:p w14:paraId="5401DC31">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通过有效的技术手段、组织管理、预案流程、制度规范等综合措施，对已发生或可能发生的，对医院电子认证体系运行有重大危害的安全事件进行响应，以降低可能造成的风险和损失。</w:t>
      </w:r>
    </w:p>
    <w:p w14:paraId="172B081E">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服务内容：</w:t>
      </w:r>
    </w:p>
    <w:p w14:paraId="263A3E6E">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提供7*24 小时应急支持服务，接到应急技术支持请求后指定专门工程师按照承诺的响应时限进行处理。具体的响应时限如下：</w:t>
      </w:r>
    </w:p>
    <w:tbl>
      <w:tblPr>
        <w:tblStyle w:val="5"/>
        <w:tblW w:w="5000" w:type="pct"/>
        <w:jc w:val="center"/>
        <w:tblLayout w:type="autofit"/>
        <w:tblCellMar>
          <w:top w:w="0" w:type="dxa"/>
          <w:left w:w="108" w:type="dxa"/>
          <w:bottom w:w="0" w:type="dxa"/>
          <w:right w:w="108" w:type="dxa"/>
        </w:tblCellMar>
      </w:tblPr>
      <w:tblGrid>
        <w:gridCol w:w="1139"/>
        <w:gridCol w:w="3855"/>
        <w:gridCol w:w="3528"/>
      </w:tblGrid>
      <w:tr w14:paraId="459C4A99">
        <w:tblPrEx>
          <w:tblCellMar>
            <w:top w:w="0" w:type="dxa"/>
            <w:left w:w="108" w:type="dxa"/>
            <w:bottom w:w="0" w:type="dxa"/>
            <w:right w:w="108" w:type="dxa"/>
          </w:tblCellMar>
        </w:tblPrEx>
        <w:trPr>
          <w:trHeight w:val="555" w:hRule="atLeast"/>
          <w:jc w:val="center"/>
        </w:trPr>
        <w:tc>
          <w:tcPr>
            <w:tcW w:w="732" w:type="pct"/>
            <w:tcBorders>
              <w:top w:val="single" w:color="auto" w:sz="4" w:space="0"/>
              <w:left w:val="single" w:color="auto" w:sz="4" w:space="0"/>
              <w:bottom w:val="single" w:color="auto" w:sz="4" w:space="0"/>
              <w:right w:val="single" w:color="auto" w:sz="4" w:space="0"/>
            </w:tcBorders>
            <w:shd w:val="clear" w:color="auto" w:fill="auto"/>
            <w:vAlign w:val="center"/>
          </w:tcPr>
          <w:p w14:paraId="5A521AEF">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b/>
                <w:bCs/>
                <w:kern w:val="0"/>
                <w:sz w:val="24"/>
                <w:szCs w:val="24"/>
              </w:rPr>
            </w:pPr>
            <w:r>
              <w:rPr>
                <w:rFonts w:hint="eastAsia" w:ascii="仿宋" w:hAnsi="仿宋" w:eastAsia="仿宋" w:cs="仿宋"/>
                <w:b/>
                <w:bCs/>
                <w:kern w:val="0"/>
                <w:sz w:val="24"/>
                <w:szCs w:val="24"/>
              </w:rPr>
              <w:t>问题级别</w:t>
            </w:r>
          </w:p>
        </w:tc>
        <w:tc>
          <w:tcPr>
            <w:tcW w:w="2326" w:type="pct"/>
            <w:tcBorders>
              <w:top w:val="single" w:color="auto" w:sz="4" w:space="0"/>
              <w:left w:val="single" w:color="auto" w:sz="4" w:space="0"/>
              <w:bottom w:val="single" w:color="auto" w:sz="4" w:space="0"/>
              <w:right w:val="single" w:color="auto" w:sz="4" w:space="0"/>
            </w:tcBorders>
            <w:shd w:val="clear" w:color="auto" w:fill="auto"/>
            <w:vAlign w:val="center"/>
          </w:tcPr>
          <w:p w14:paraId="4D1E1AE2">
            <w:pPr>
              <w:keepNext w:val="0"/>
              <w:keepLines w:val="0"/>
              <w:pageBreakBefore w:val="0"/>
              <w:widowControl/>
              <w:kinsoku/>
              <w:wordWrap/>
              <w:overflowPunct/>
              <w:topLinePunct w:val="0"/>
              <w:autoSpaceDE/>
              <w:autoSpaceDN/>
              <w:bidi w:val="0"/>
              <w:adjustRightInd w:val="0"/>
              <w:snapToGrid w:val="0"/>
              <w:spacing w:line="440" w:lineRule="exact"/>
              <w:ind w:firstLine="482" w:firstLineChars="200"/>
              <w:jc w:val="center"/>
              <w:textAlignment w:val="auto"/>
              <w:rPr>
                <w:rFonts w:hint="eastAsia" w:ascii="仿宋" w:hAnsi="仿宋" w:eastAsia="仿宋" w:cs="仿宋"/>
                <w:b/>
                <w:bCs/>
                <w:kern w:val="0"/>
                <w:sz w:val="24"/>
                <w:szCs w:val="24"/>
              </w:rPr>
            </w:pPr>
            <w:r>
              <w:rPr>
                <w:rFonts w:hint="eastAsia" w:ascii="仿宋" w:hAnsi="仿宋" w:eastAsia="仿宋" w:cs="仿宋"/>
                <w:b/>
                <w:bCs/>
                <w:kern w:val="0"/>
                <w:sz w:val="24"/>
                <w:szCs w:val="24"/>
              </w:rPr>
              <w:t>问题现象</w:t>
            </w:r>
          </w:p>
        </w:tc>
        <w:tc>
          <w:tcPr>
            <w:tcW w:w="1943" w:type="pct"/>
            <w:tcBorders>
              <w:top w:val="single" w:color="auto" w:sz="4" w:space="0"/>
              <w:left w:val="nil"/>
              <w:bottom w:val="single" w:color="auto" w:sz="4" w:space="0"/>
              <w:right w:val="single" w:color="auto" w:sz="4" w:space="0"/>
            </w:tcBorders>
            <w:shd w:val="clear" w:color="auto" w:fill="auto"/>
            <w:noWrap/>
            <w:vAlign w:val="center"/>
          </w:tcPr>
          <w:p w14:paraId="4C454D4C">
            <w:pPr>
              <w:keepNext w:val="0"/>
              <w:keepLines w:val="0"/>
              <w:pageBreakBefore w:val="0"/>
              <w:widowControl/>
              <w:kinsoku/>
              <w:wordWrap/>
              <w:overflowPunct/>
              <w:topLinePunct w:val="0"/>
              <w:autoSpaceDE/>
              <w:autoSpaceDN/>
              <w:bidi w:val="0"/>
              <w:adjustRightInd w:val="0"/>
              <w:snapToGrid w:val="0"/>
              <w:spacing w:line="440" w:lineRule="exact"/>
              <w:ind w:firstLine="482" w:firstLineChars="200"/>
              <w:jc w:val="center"/>
              <w:textAlignment w:val="auto"/>
              <w:rPr>
                <w:rFonts w:hint="eastAsia" w:ascii="仿宋" w:hAnsi="仿宋" w:eastAsia="仿宋" w:cs="仿宋"/>
                <w:b/>
                <w:bCs/>
                <w:kern w:val="0"/>
                <w:sz w:val="24"/>
                <w:szCs w:val="24"/>
              </w:rPr>
            </w:pPr>
            <w:r>
              <w:rPr>
                <w:rFonts w:hint="eastAsia" w:ascii="仿宋" w:hAnsi="仿宋" w:eastAsia="仿宋" w:cs="仿宋"/>
                <w:b/>
                <w:bCs/>
                <w:kern w:val="0"/>
                <w:sz w:val="24"/>
                <w:szCs w:val="24"/>
              </w:rPr>
              <w:t>服务响应时间（工作小时）</w:t>
            </w:r>
          </w:p>
        </w:tc>
      </w:tr>
      <w:tr w14:paraId="35C12955">
        <w:tblPrEx>
          <w:tblCellMar>
            <w:top w:w="0" w:type="dxa"/>
            <w:left w:w="108" w:type="dxa"/>
            <w:bottom w:w="0" w:type="dxa"/>
            <w:right w:w="108" w:type="dxa"/>
          </w:tblCellMar>
        </w:tblPrEx>
        <w:trPr>
          <w:trHeight w:val="1043" w:hRule="atLeast"/>
          <w:jc w:val="center"/>
        </w:trPr>
        <w:tc>
          <w:tcPr>
            <w:tcW w:w="732" w:type="pct"/>
            <w:tcBorders>
              <w:top w:val="nil"/>
              <w:left w:val="single" w:color="auto" w:sz="4" w:space="0"/>
              <w:bottom w:val="single" w:color="auto" w:sz="4" w:space="0"/>
              <w:right w:val="single" w:color="auto" w:sz="4" w:space="0"/>
            </w:tcBorders>
            <w:vAlign w:val="center"/>
          </w:tcPr>
          <w:p w14:paraId="435716AB">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kern w:val="0"/>
                <w:sz w:val="24"/>
                <w:szCs w:val="24"/>
              </w:rPr>
            </w:pPr>
            <w:r>
              <w:rPr>
                <w:rFonts w:hint="eastAsia" w:ascii="仿宋" w:hAnsi="仿宋" w:eastAsia="仿宋" w:cs="仿宋"/>
                <w:kern w:val="0"/>
                <w:sz w:val="24"/>
                <w:szCs w:val="24"/>
              </w:rPr>
              <w:t>一级故障</w:t>
            </w:r>
          </w:p>
        </w:tc>
        <w:tc>
          <w:tcPr>
            <w:tcW w:w="2326" w:type="pct"/>
            <w:tcBorders>
              <w:top w:val="nil"/>
              <w:left w:val="nil"/>
              <w:bottom w:val="single" w:color="auto" w:sz="4" w:space="0"/>
              <w:right w:val="single" w:color="auto" w:sz="4" w:space="0"/>
            </w:tcBorders>
            <w:vAlign w:val="center"/>
          </w:tcPr>
          <w:p w14:paraId="76A40B1E">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kern w:val="0"/>
                <w:sz w:val="24"/>
                <w:szCs w:val="24"/>
              </w:rPr>
            </w:pPr>
            <w:r>
              <w:rPr>
                <w:rFonts w:hint="eastAsia" w:ascii="仿宋" w:hAnsi="仿宋" w:eastAsia="仿宋" w:cs="仿宋"/>
                <w:kern w:val="0"/>
                <w:sz w:val="24"/>
                <w:szCs w:val="24"/>
              </w:rPr>
              <w:t>系统核心功能受损，严重影响用户使用系统，使最终用户的业务运作受到重要影响。</w:t>
            </w:r>
          </w:p>
        </w:tc>
        <w:tc>
          <w:tcPr>
            <w:tcW w:w="1943" w:type="pct"/>
            <w:tcBorders>
              <w:top w:val="single" w:color="auto" w:sz="4" w:space="0"/>
              <w:left w:val="nil"/>
              <w:bottom w:val="single" w:color="auto" w:sz="4" w:space="0"/>
              <w:right w:val="single" w:color="auto" w:sz="4" w:space="0"/>
            </w:tcBorders>
            <w:vAlign w:val="center"/>
          </w:tcPr>
          <w:p w14:paraId="316E518A">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实时响应</w:t>
            </w:r>
          </w:p>
        </w:tc>
      </w:tr>
      <w:tr w14:paraId="4D64DD55">
        <w:tblPrEx>
          <w:tblCellMar>
            <w:top w:w="0" w:type="dxa"/>
            <w:left w:w="108" w:type="dxa"/>
            <w:bottom w:w="0" w:type="dxa"/>
            <w:right w:w="108" w:type="dxa"/>
          </w:tblCellMar>
        </w:tblPrEx>
        <w:trPr>
          <w:trHeight w:val="1431" w:hRule="atLeast"/>
          <w:jc w:val="center"/>
        </w:trPr>
        <w:tc>
          <w:tcPr>
            <w:tcW w:w="732" w:type="pct"/>
            <w:tcBorders>
              <w:top w:val="nil"/>
              <w:left w:val="single" w:color="auto" w:sz="4" w:space="0"/>
              <w:bottom w:val="single" w:color="auto" w:sz="4" w:space="0"/>
              <w:right w:val="single" w:color="auto" w:sz="4" w:space="0"/>
            </w:tcBorders>
            <w:vAlign w:val="center"/>
          </w:tcPr>
          <w:p w14:paraId="6BD57FA4">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kern w:val="0"/>
                <w:sz w:val="24"/>
                <w:szCs w:val="24"/>
              </w:rPr>
            </w:pPr>
            <w:r>
              <w:rPr>
                <w:rFonts w:hint="eastAsia" w:ascii="仿宋" w:hAnsi="仿宋" w:eastAsia="仿宋" w:cs="仿宋"/>
                <w:kern w:val="0"/>
                <w:sz w:val="24"/>
                <w:szCs w:val="24"/>
              </w:rPr>
              <w:t>二级故障</w:t>
            </w:r>
          </w:p>
        </w:tc>
        <w:tc>
          <w:tcPr>
            <w:tcW w:w="2326" w:type="pct"/>
            <w:tcBorders>
              <w:top w:val="nil"/>
              <w:left w:val="nil"/>
              <w:bottom w:val="single" w:color="auto" w:sz="4" w:space="0"/>
              <w:right w:val="single" w:color="auto" w:sz="4" w:space="0"/>
            </w:tcBorders>
            <w:vAlign w:val="center"/>
          </w:tcPr>
          <w:p w14:paraId="61DA9D80">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kern w:val="0"/>
                <w:sz w:val="24"/>
                <w:szCs w:val="24"/>
              </w:rPr>
            </w:pPr>
            <w:r>
              <w:rPr>
                <w:rFonts w:hint="eastAsia" w:ascii="仿宋" w:hAnsi="仿宋" w:eastAsia="仿宋" w:cs="仿宋"/>
                <w:kern w:val="0"/>
                <w:sz w:val="24"/>
                <w:szCs w:val="24"/>
              </w:rPr>
              <w:t>产品的部分操作功能受损，但最终用户在合理使用下大部分功能仍可正常工作。</w:t>
            </w:r>
          </w:p>
        </w:tc>
        <w:tc>
          <w:tcPr>
            <w:tcW w:w="1943" w:type="pct"/>
            <w:tcBorders>
              <w:top w:val="nil"/>
              <w:left w:val="nil"/>
              <w:bottom w:val="single" w:color="auto" w:sz="4" w:space="0"/>
              <w:right w:val="single" w:color="auto" w:sz="4" w:space="0"/>
            </w:tcBorders>
            <w:vAlign w:val="center"/>
          </w:tcPr>
          <w:p w14:paraId="2FC132DC">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实时响应</w:t>
            </w:r>
          </w:p>
        </w:tc>
      </w:tr>
      <w:tr w14:paraId="2DE2A2FC">
        <w:tblPrEx>
          <w:tblCellMar>
            <w:top w:w="0" w:type="dxa"/>
            <w:left w:w="108" w:type="dxa"/>
            <w:bottom w:w="0" w:type="dxa"/>
            <w:right w:w="108" w:type="dxa"/>
          </w:tblCellMar>
        </w:tblPrEx>
        <w:trPr>
          <w:trHeight w:val="960" w:hRule="atLeast"/>
          <w:jc w:val="center"/>
        </w:trPr>
        <w:tc>
          <w:tcPr>
            <w:tcW w:w="732" w:type="pct"/>
            <w:tcBorders>
              <w:top w:val="nil"/>
              <w:left w:val="single" w:color="auto" w:sz="4" w:space="0"/>
              <w:bottom w:val="single" w:color="auto" w:sz="4" w:space="0"/>
              <w:right w:val="single" w:color="auto" w:sz="4" w:space="0"/>
            </w:tcBorders>
            <w:vAlign w:val="center"/>
          </w:tcPr>
          <w:p w14:paraId="3CC4C347">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kern w:val="0"/>
                <w:sz w:val="24"/>
                <w:szCs w:val="24"/>
              </w:rPr>
            </w:pPr>
            <w:r>
              <w:rPr>
                <w:rFonts w:hint="eastAsia" w:ascii="仿宋" w:hAnsi="仿宋" w:eastAsia="仿宋" w:cs="仿宋"/>
                <w:kern w:val="0"/>
                <w:sz w:val="24"/>
                <w:szCs w:val="24"/>
              </w:rPr>
              <w:t>三级故障</w:t>
            </w:r>
          </w:p>
        </w:tc>
        <w:tc>
          <w:tcPr>
            <w:tcW w:w="2326" w:type="pct"/>
            <w:tcBorders>
              <w:top w:val="nil"/>
              <w:left w:val="nil"/>
              <w:bottom w:val="single" w:color="auto" w:sz="4" w:space="0"/>
              <w:right w:val="single" w:color="auto" w:sz="4" w:space="0"/>
            </w:tcBorders>
            <w:vAlign w:val="center"/>
          </w:tcPr>
          <w:p w14:paraId="02572F29">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kern w:val="0"/>
                <w:sz w:val="24"/>
                <w:szCs w:val="24"/>
              </w:rPr>
            </w:pPr>
            <w:r>
              <w:rPr>
                <w:rFonts w:hint="eastAsia" w:ascii="仿宋" w:hAnsi="仿宋" w:eastAsia="仿宋" w:cs="仿宋"/>
                <w:kern w:val="0"/>
                <w:sz w:val="24"/>
                <w:szCs w:val="24"/>
              </w:rPr>
              <w:t>不影响用户正常使用的功能缺陷等</w:t>
            </w:r>
          </w:p>
        </w:tc>
        <w:tc>
          <w:tcPr>
            <w:tcW w:w="1943" w:type="pct"/>
            <w:tcBorders>
              <w:top w:val="nil"/>
              <w:left w:val="nil"/>
              <w:bottom w:val="single" w:color="auto" w:sz="4" w:space="0"/>
              <w:right w:val="single" w:color="auto" w:sz="4" w:space="0"/>
            </w:tcBorders>
            <w:vAlign w:val="center"/>
          </w:tcPr>
          <w:p w14:paraId="78686B66">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2小时以内</w:t>
            </w:r>
          </w:p>
        </w:tc>
      </w:tr>
      <w:tr w14:paraId="5F986A25">
        <w:tblPrEx>
          <w:tblCellMar>
            <w:top w:w="0" w:type="dxa"/>
            <w:left w:w="108" w:type="dxa"/>
            <w:bottom w:w="0" w:type="dxa"/>
            <w:right w:w="108" w:type="dxa"/>
          </w:tblCellMar>
        </w:tblPrEx>
        <w:trPr>
          <w:trHeight w:val="1233" w:hRule="atLeast"/>
          <w:jc w:val="center"/>
        </w:trPr>
        <w:tc>
          <w:tcPr>
            <w:tcW w:w="732" w:type="pct"/>
            <w:tcBorders>
              <w:top w:val="nil"/>
              <w:left w:val="single" w:color="auto" w:sz="4" w:space="0"/>
              <w:bottom w:val="single" w:color="auto" w:sz="4" w:space="0"/>
              <w:right w:val="single" w:color="auto" w:sz="4" w:space="0"/>
            </w:tcBorders>
            <w:vAlign w:val="center"/>
          </w:tcPr>
          <w:p w14:paraId="7B57E82D">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kern w:val="0"/>
                <w:sz w:val="24"/>
                <w:szCs w:val="24"/>
              </w:rPr>
            </w:pPr>
            <w:r>
              <w:rPr>
                <w:rFonts w:hint="eastAsia" w:ascii="仿宋" w:hAnsi="仿宋" w:eastAsia="仿宋" w:cs="仿宋"/>
                <w:kern w:val="0"/>
                <w:sz w:val="24"/>
                <w:szCs w:val="24"/>
              </w:rPr>
              <w:t>技术支持</w:t>
            </w:r>
          </w:p>
        </w:tc>
        <w:tc>
          <w:tcPr>
            <w:tcW w:w="2326" w:type="pct"/>
            <w:tcBorders>
              <w:top w:val="nil"/>
              <w:left w:val="nil"/>
              <w:bottom w:val="single" w:color="auto" w:sz="4" w:space="0"/>
              <w:right w:val="single" w:color="auto" w:sz="4" w:space="0"/>
            </w:tcBorders>
            <w:vAlign w:val="center"/>
          </w:tcPr>
          <w:p w14:paraId="4EEBE183">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仿宋" w:hAnsi="仿宋" w:eastAsia="仿宋" w:cs="仿宋"/>
                <w:kern w:val="0"/>
                <w:sz w:val="24"/>
                <w:szCs w:val="24"/>
              </w:rPr>
            </w:pPr>
            <w:r>
              <w:rPr>
                <w:rFonts w:hint="eastAsia" w:ascii="仿宋" w:hAnsi="仿宋" w:eastAsia="仿宋" w:cs="仿宋"/>
                <w:kern w:val="0"/>
                <w:sz w:val="24"/>
                <w:szCs w:val="24"/>
              </w:rPr>
              <w:t>对产品使用不构成影响的技术服务请求/咨询等</w:t>
            </w:r>
          </w:p>
        </w:tc>
        <w:tc>
          <w:tcPr>
            <w:tcW w:w="1943" w:type="pct"/>
            <w:tcBorders>
              <w:top w:val="nil"/>
              <w:left w:val="nil"/>
              <w:bottom w:val="single" w:color="auto" w:sz="4" w:space="0"/>
              <w:right w:val="single" w:color="auto" w:sz="4" w:space="0"/>
            </w:tcBorders>
            <w:vAlign w:val="center"/>
          </w:tcPr>
          <w:p w14:paraId="46E8ADE9">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2小时以内</w:t>
            </w:r>
          </w:p>
        </w:tc>
      </w:tr>
    </w:tbl>
    <w:p w14:paraId="4FD5F10B">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bookmarkStart w:id="5" w:name="_Toc278616712"/>
      <w:r>
        <w:rPr>
          <w:rFonts w:hint="eastAsia" w:ascii="仿宋" w:hAnsi="仿宋" w:eastAsia="仿宋" w:cs="仿宋"/>
          <w:sz w:val="24"/>
          <w:szCs w:val="24"/>
        </w:rPr>
        <w:t>对于二级故障和一级故障，在接到应急请求后若判断无法通过电话和远程支持方式解决问题时，工程师需2个小时内到达绍兴市</w:t>
      </w:r>
      <w:r>
        <w:rPr>
          <w:rFonts w:hint="eastAsia" w:ascii="仿宋" w:hAnsi="仿宋" w:eastAsia="仿宋" w:cs="仿宋"/>
          <w:sz w:val="24"/>
          <w:szCs w:val="24"/>
          <w:lang w:eastAsia="zh-CN"/>
        </w:rPr>
        <w:t>第七人民医院</w:t>
      </w:r>
      <w:r>
        <w:rPr>
          <w:rFonts w:hint="eastAsia" w:ascii="仿宋" w:hAnsi="仿宋" w:eastAsia="仿宋" w:cs="仿宋"/>
          <w:sz w:val="24"/>
          <w:szCs w:val="24"/>
        </w:rPr>
        <w:t>电子认证应用平台部署现场，采用本地服务方式帮助医院处理突发事件。</w:t>
      </w:r>
    </w:p>
    <w:p w14:paraId="0D0D7904">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服务成果交付</w:t>
      </w:r>
      <w:bookmarkEnd w:id="5"/>
      <w:r>
        <w:rPr>
          <w:rFonts w:hint="eastAsia" w:ascii="仿宋" w:hAnsi="仿宋" w:eastAsia="仿宋" w:cs="仿宋"/>
          <w:b/>
          <w:sz w:val="24"/>
          <w:szCs w:val="24"/>
        </w:rPr>
        <w:t>：</w:t>
      </w:r>
    </w:p>
    <w:p w14:paraId="143B399A">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《应急响应事件记录单》</w:t>
      </w:r>
    </w:p>
    <w:p w14:paraId="7FCAAB19">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《突发事件处理总结报告》</w:t>
      </w:r>
    </w:p>
    <w:p w14:paraId="35C1AEA8">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1.6定期巡检服务</w:t>
      </w:r>
    </w:p>
    <w:p w14:paraId="246D422D">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bookmarkStart w:id="6" w:name="_Toc278616714"/>
      <w:r>
        <w:rPr>
          <w:rFonts w:hint="eastAsia" w:ascii="仿宋" w:hAnsi="仿宋" w:eastAsia="仿宋" w:cs="仿宋"/>
          <w:b/>
          <w:sz w:val="24"/>
          <w:szCs w:val="24"/>
        </w:rPr>
        <w:t>服务目的</w:t>
      </w:r>
      <w:bookmarkEnd w:id="6"/>
      <w:r>
        <w:rPr>
          <w:rFonts w:hint="eastAsia" w:ascii="仿宋" w:hAnsi="仿宋" w:eastAsia="仿宋" w:cs="仿宋"/>
          <w:b/>
          <w:sz w:val="24"/>
          <w:szCs w:val="24"/>
        </w:rPr>
        <w:t>：</w:t>
      </w:r>
    </w:p>
    <w:p w14:paraId="23A0304A">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bookmarkStart w:id="7" w:name="_Hlk51231824"/>
      <w:r>
        <w:rPr>
          <w:rFonts w:hint="eastAsia" w:ascii="仿宋" w:hAnsi="仿宋" w:eastAsia="仿宋" w:cs="仿宋"/>
          <w:sz w:val="24"/>
          <w:szCs w:val="24"/>
        </w:rPr>
        <w:t>为及时发现潜在的安全漏洞或风险、缩短故障响应时间、及时有效的发现并解决异常事件，实现绍兴市</w:t>
      </w:r>
      <w:r>
        <w:rPr>
          <w:rFonts w:hint="eastAsia" w:ascii="仿宋" w:hAnsi="仿宋" w:eastAsia="仿宋" w:cs="仿宋"/>
          <w:sz w:val="24"/>
          <w:szCs w:val="24"/>
          <w:lang w:eastAsia="zh-CN"/>
        </w:rPr>
        <w:t>第七人民医院</w:t>
      </w:r>
      <w:r>
        <w:rPr>
          <w:rFonts w:hint="eastAsia" w:ascii="仿宋" w:hAnsi="仿宋" w:eastAsia="仿宋" w:cs="仿宋"/>
          <w:sz w:val="24"/>
          <w:szCs w:val="24"/>
        </w:rPr>
        <w:t>电子认证应用平台能够安全、稳定运行，施行定期巡检服务。</w:t>
      </w:r>
    </w:p>
    <w:bookmarkEnd w:id="7"/>
    <w:p w14:paraId="107AB096">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服务内容：</w:t>
      </w:r>
    </w:p>
    <w:p w14:paraId="1421D8F6">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对医院电子认证应用系统运行情况提供每季度1次现场巡检。</w:t>
      </w:r>
    </w:p>
    <w:p w14:paraId="453DC178">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每次巡检结束后，向医院提供纸质盖章的巡检报告，报告内容包括：系统性能、运行状况、稳定程度等，并对系统的优化和今后运行维护给出建议。</w:t>
      </w:r>
    </w:p>
    <w:p w14:paraId="1793A56C">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在保修期结束前3个月内，对系统运行情况再进行一次全面巡检，发现问题及时解决。</w:t>
      </w:r>
    </w:p>
    <w:p w14:paraId="4E52F041">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bookmarkStart w:id="8" w:name="_Toc278616717"/>
      <w:r>
        <w:rPr>
          <w:rFonts w:hint="eastAsia" w:ascii="仿宋" w:hAnsi="仿宋" w:eastAsia="仿宋" w:cs="仿宋"/>
          <w:b/>
          <w:sz w:val="24"/>
          <w:szCs w:val="24"/>
        </w:rPr>
        <w:t>服务成果交付</w:t>
      </w:r>
      <w:bookmarkEnd w:id="8"/>
      <w:r>
        <w:rPr>
          <w:rFonts w:hint="eastAsia" w:ascii="仿宋" w:hAnsi="仿宋" w:eastAsia="仿宋" w:cs="仿宋"/>
          <w:b/>
          <w:sz w:val="24"/>
          <w:szCs w:val="24"/>
        </w:rPr>
        <w:t>：</w:t>
      </w:r>
    </w:p>
    <w:p w14:paraId="5DE3FB8B">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《现场巡检报告》</w:t>
      </w:r>
    </w:p>
    <w:p w14:paraId="1F6D70B1">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1.7技术咨询服务</w:t>
      </w:r>
    </w:p>
    <w:p w14:paraId="368FBCBA">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bookmarkStart w:id="9" w:name="_Toc278616719"/>
      <w:r>
        <w:rPr>
          <w:rFonts w:hint="eastAsia" w:ascii="仿宋" w:hAnsi="仿宋" w:eastAsia="仿宋" w:cs="仿宋"/>
          <w:b/>
          <w:sz w:val="24"/>
          <w:szCs w:val="24"/>
        </w:rPr>
        <w:t>服务目的</w:t>
      </w:r>
      <w:bookmarkEnd w:id="9"/>
      <w:r>
        <w:rPr>
          <w:rFonts w:hint="eastAsia" w:ascii="仿宋" w:hAnsi="仿宋" w:eastAsia="仿宋" w:cs="仿宋"/>
          <w:b/>
          <w:sz w:val="24"/>
          <w:szCs w:val="24"/>
        </w:rPr>
        <w:t>：</w:t>
      </w:r>
    </w:p>
    <w:p w14:paraId="015701BB">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及时响应医院各级人员的技术问题咨询，提升服务的响应速度，建立沟通渠道。</w:t>
      </w:r>
    </w:p>
    <w:p w14:paraId="72098709">
      <w:pPr>
        <w:keepNext w:val="0"/>
        <w:keepLines w:val="0"/>
        <w:pageBreakBefore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服务内容：</w:t>
      </w:r>
    </w:p>
    <w:p w14:paraId="459FB805">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系统服务期内，提供各种与产品相关的免费技术咨询服务，包括呼叫中心、客户网站、电子邮件（7×24）、传真等方式。</w:t>
      </w:r>
    </w:p>
    <w:p w14:paraId="18BE4622">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（1）呼叫中心</w:t>
      </w:r>
    </w:p>
    <w:p w14:paraId="4964A4F9">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需建立呼叫中心系统，可提供7x24的电话服务。呼叫中心可提供咨询类问题的解答、疑难问题的组织解决和投诉解决等服务。</w:t>
      </w:r>
    </w:p>
    <w:p w14:paraId="6225723A">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（2）客服网站</w:t>
      </w:r>
    </w:p>
    <w:p w14:paraId="4ACE89B5">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随着在线服务的增加，支持服务向在线化发展。需建有客服网站，保证能够从网站上找到针对自己的产品支持信息、服务通告、常见问题解答。</w:t>
      </w:r>
    </w:p>
    <w:p w14:paraId="35EB375F">
      <w:pPr>
        <w:keepNext w:val="0"/>
        <w:keepLines w:val="0"/>
        <w:pageBreakBefore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2.医师移动签名服务</w:t>
      </w:r>
    </w:p>
    <w:tbl>
      <w:tblPr>
        <w:tblStyle w:val="5"/>
        <w:tblW w:w="8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7558"/>
      </w:tblGrid>
      <w:tr w14:paraId="6EA2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017A853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b/>
                <w:sz w:val="24"/>
                <w:szCs w:val="24"/>
              </w:rPr>
            </w:pPr>
            <w:r>
              <w:rPr>
                <w:rFonts w:hint="eastAsia" w:ascii="仿宋" w:hAnsi="仿宋" w:eastAsia="仿宋" w:cs="仿宋"/>
                <w:b/>
                <w:sz w:val="24"/>
                <w:szCs w:val="24"/>
              </w:rPr>
              <w:t>序号</w:t>
            </w:r>
          </w:p>
        </w:tc>
        <w:tc>
          <w:tcPr>
            <w:tcW w:w="7558" w:type="dxa"/>
          </w:tcPr>
          <w:p w14:paraId="3C11C638">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b/>
                <w:sz w:val="24"/>
                <w:szCs w:val="24"/>
              </w:rPr>
            </w:pPr>
            <w:r>
              <w:rPr>
                <w:rFonts w:hint="eastAsia" w:ascii="仿宋" w:hAnsi="仿宋" w:eastAsia="仿宋" w:cs="仿宋"/>
                <w:b/>
                <w:sz w:val="24"/>
                <w:szCs w:val="24"/>
              </w:rPr>
              <w:t>功能指标要求</w:t>
            </w:r>
          </w:p>
        </w:tc>
      </w:tr>
      <w:tr w14:paraId="726B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0AAEF2B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7558" w:type="dxa"/>
            <w:vAlign w:val="center"/>
          </w:tcPr>
          <w:p w14:paraId="77F42798">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提供用户登录功能，支持用户登录；</w:t>
            </w:r>
          </w:p>
        </w:tc>
      </w:tr>
      <w:tr w14:paraId="05CA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46C1C75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7558" w:type="dxa"/>
            <w:vAlign w:val="center"/>
          </w:tcPr>
          <w:p w14:paraId="72A5B5EF">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提供人脸识别功能，支持人脸识别认证；</w:t>
            </w:r>
          </w:p>
        </w:tc>
      </w:tr>
      <w:tr w14:paraId="04A2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75ED252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7558" w:type="dxa"/>
            <w:vAlign w:val="center"/>
          </w:tcPr>
          <w:p w14:paraId="7A28B409">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提供下载证书功能，支持通过认证的用户，支持在线下载证书等；</w:t>
            </w:r>
          </w:p>
        </w:tc>
      </w:tr>
      <w:tr w14:paraId="5818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53AB389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7558" w:type="dxa"/>
            <w:vAlign w:val="center"/>
          </w:tcPr>
          <w:p w14:paraId="0E2C8172">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提供设置手写签名功能，支持手写签章的在线绘制与上传，并对签章进行图片处理，且支持签章修改等；</w:t>
            </w:r>
          </w:p>
        </w:tc>
      </w:tr>
      <w:tr w14:paraId="0D5C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23132BC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7558" w:type="dxa"/>
            <w:vAlign w:val="center"/>
          </w:tcPr>
          <w:p w14:paraId="742BC031">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提供查看证书功能，支持查看个人数字证书的功能，支持用户多点执业，通过证书可查看用户信息与执业情况以及颁发机构信息等；</w:t>
            </w:r>
          </w:p>
        </w:tc>
      </w:tr>
      <w:tr w14:paraId="6295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410BFDF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6</w:t>
            </w:r>
          </w:p>
        </w:tc>
        <w:tc>
          <w:tcPr>
            <w:tcW w:w="7558" w:type="dxa"/>
            <w:vAlign w:val="center"/>
          </w:tcPr>
          <w:p w14:paraId="096403EC">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提供证书更新功能，支持证书到期前1个月，主动提醒更新，并可完成在线更新；</w:t>
            </w:r>
          </w:p>
        </w:tc>
      </w:tr>
      <w:tr w14:paraId="745C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2E5EA3A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7</w:t>
            </w:r>
          </w:p>
        </w:tc>
        <w:tc>
          <w:tcPr>
            <w:tcW w:w="7558" w:type="dxa"/>
            <w:vAlign w:val="center"/>
          </w:tcPr>
          <w:p w14:paraId="1E1929D1">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提供证书找回功能，支持证书找回；</w:t>
            </w:r>
          </w:p>
        </w:tc>
      </w:tr>
      <w:tr w14:paraId="6D8A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35ABF68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8</w:t>
            </w:r>
          </w:p>
        </w:tc>
        <w:tc>
          <w:tcPr>
            <w:tcW w:w="7558" w:type="dxa"/>
            <w:vAlign w:val="center"/>
          </w:tcPr>
          <w:p w14:paraId="6E3BBFAC">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提供密码重置功能，支持通过短信验证码对密码进行重置；</w:t>
            </w:r>
          </w:p>
        </w:tc>
      </w:tr>
      <w:tr w14:paraId="3350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4C3DCDE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9</w:t>
            </w:r>
          </w:p>
        </w:tc>
        <w:tc>
          <w:tcPr>
            <w:tcW w:w="7558" w:type="dxa"/>
            <w:vAlign w:val="center"/>
          </w:tcPr>
          <w:p w14:paraId="1078FF8A">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提供免密签名功能，支持在免密时间内可进行免密签名，支持免密时效自定义；</w:t>
            </w:r>
          </w:p>
        </w:tc>
      </w:tr>
      <w:tr w14:paraId="431F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5517E2F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10</w:t>
            </w:r>
          </w:p>
        </w:tc>
        <w:tc>
          <w:tcPr>
            <w:tcW w:w="7558" w:type="dxa"/>
            <w:vAlign w:val="center"/>
          </w:tcPr>
          <w:p w14:paraId="10E58BCF">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提供指纹签名功能，支持使用指纹或FaceID进行签名；</w:t>
            </w:r>
          </w:p>
        </w:tc>
      </w:tr>
      <w:tr w14:paraId="39AB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5D6C596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11</w:t>
            </w:r>
          </w:p>
        </w:tc>
        <w:tc>
          <w:tcPr>
            <w:tcW w:w="7558" w:type="dxa"/>
            <w:vAlign w:val="center"/>
          </w:tcPr>
          <w:p w14:paraId="02CBE5C6">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提供自动签授权管理功能，支持自动签名使用个人证书进行授权开启、退出等；</w:t>
            </w:r>
          </w:p>
        </w:tc>
      </w:tr>
      <w:tr w14:paraId="41F2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60C0930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12</w:t>
            </w:r>
          </w:p>
        </w:tc>
        <w:tc>
          <w:tcPr>
            <w:tcW w:w="7558" w:type="dxa"/>
            <w:vAlign w:val="center"/>
          </w:tcPr>
          <w:p w14:paraId="0BB05EE1">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提供授权签名管理功能，支持授权签名开启、关闭、查看等；</w:t>
            </w:r>
          </w:p>
        </w:tc>
      </w:tr>
      <w:tr w14:paraId="5B64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25C6D86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13</w:t>
            </w:r>
          </w:p>
        </w:tc>
        <w:tc>
          <w:tcPr>
            <w:tcW w:w="7558" w:type="dxa"/>
            <w:vAlign w:val="center"/>
          </w:tcPr>
          <w:p w14:paraId="24AD81C2">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提供签名管理功能，支持针对签署数据摘要值、影像模板、病历模板、处方模板、个人PDF、会诊意见书文件进行查看、单次签名、批量签名、拒签、作废等；</w:t>
            </w:r>
          </w:p>
        </w:tc>
      </w:tr>
      <w:tr w14:paraId="22B5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0D0F02E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14</w:t>
            </w:r>
          </w:p>
        </w:tc>
        <w:tc>
          <w:tcPr>
            <w:tcW w:w="7558" w:type="dxa"/>
            <w:vAlign w:val="center"/>
          </w:tcPr>
          <w:p w14:paraId="57A28B28">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提供签名垃圾箱功能，支持展示自己拒签、作废、被删除的数据等；</w:t>
            </w:r>
          </w:p>
        </w:tc>
      </w:tr>
      <w:tr w14:paraId="33C8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112C5486">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15</w:t>
            </w:r>
          </w:p>
        </w:tc>
        <w:tc>
          <w:tcPr>
            <w:tcW w:w="7558" w:type="dxa"/>
            <w:vAlign w:val="center"/>
          </w:tcPr>
          <w:p w14:paraId="70ECC388">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提供临床决策系统功能，支持免费试用3次辅助诊断，超过3次试用后购买并使用辅助诊断等；</w:t>
            </w:r>
          </w:p>
        </w:tc>
      </w:tr>
      <w:tr w14:paraId="6C48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2024F978">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16</w:t>
            </w:r>
          </w:p>
        </w:tc>
        <w:tc>
          <w:tcPr>
            <w:tcW w:w="7558" w:type="dxa"/>
            <w:vAlign w:val="center"/>
          </w:tcPr>
          <w:p w14:paraId="43F0625D">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提供临床数据库功能，支持药品和诊断的百科查询；</w:t>
            </w:r>
          </w:p>
        </w:tc>
      </w:tr>
      <w:tr w14:paraId="1DEF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5414CC5B">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17</w:t>
            </w:r>
          </w:p>
        </w:tc>
        <w:tc>
          <w:tcPr>
            <w:tcW w:w="7558" w:type="dxa"/>
            <w:vAlign w:val="center"/>
          </w:tcPr>
          <w:p w14:paraId="6A797055">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提供定制量表功能，支持提交量表的功能，运营平台上可看到用户申请的量表格式并为其定制相应量表；</w:t>
            </w:r>
          </w:p>
        </w:tc>
      </w:tr>
      <w:tr w14:paraId="3ACC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441153A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18</w:t>
            </w:r>
          </w:p>
        </w:tc>
        <w:tc>
          <w:tcPr>
            <w:tcW w:w="7558" w:type="dxa"/>
            <w:vAlign w:val="center"/>
          </w:tcPr>
          <w:p w14:paraId="3C191B9F">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提供患者量表导出功能，支持导出所选患者量表信息、查看导出记录等；</w:t>
            </w:r>
          </w:p>
        </w:tc>
      </w:tr>
      <w:tr w14:paraId="7069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25833DE6">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19</w:t>
            </w:r>
          </w:p>
        </w:tc>
        <w:tc>
          <w:tcPr>
            <w:tcW w:w="7558" w:type="dxa"/>
            <w:vAlign w:val="center"/>
          </w:tcPr>
          <w:p w14:paraId="65D8A386">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提供个人云档案管理功能，支持档案名称和档案内容添加、查看、编辑等；</w:t>
            </w:r>
          </w:p>
        </w:tc>
      </w:tr>
      <w:tr w14:paraId="236F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49F7CBF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20</w:t>
            </w:r>
          </w:p>
        </w:tc>
        <w:tc>
          <w:tcPr>
            <w:tcW w:w="7558" w:type="dxa"/>
            <w:vAlign w:val="center"/>
          </w:tcPr>
          <w:p w14:paraId="2EF97582">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提供个人账号设置功能，支持设置账号头像，昵称，查看账号信息等；</w:t>
            </w:r>
          </w:p>
        </w:tc>
      </w:tr>
      <w:tr w14:paraId="6666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7919A72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21</w:t>
            </w:r>
          </w:p>
        </w:tc>
        <w:tc>
          <w:tcPr>
            <w:tcW w:w="7558" w:type="dxa"/>
            <w:vAlign w:val="center"/>
          </w:tcPr>
          <w:p w14:paraId="1C477732">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提供个人服务权益中心查看功能，支持展示用户权益信息的功能，权益信息包括临床决策支持，临床数据库，病历夹和云档案；</w:t>
            </w:r>
          </w:p>
        </w:tc>
      </w:tr>
      <w:tr w14:paraId="6655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5A38A7E6">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22</w:t>
            </w:r>
          </w:p>
        </w:tc>
        <w:tc>
          <w:tcPr>
            <w:tcW w:w="7558" w:type="dxa"/>
            <w:vAlign w:val="center"/>
          </w:tcPr>
          <w:p w14:paraId="3BB237E1">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提供数字证书管理功能，支持数字证书下载、找回以及修改密码；</w:t>
            </w:r>
          </w:p>
        </w:tc>
      </w:tr>
      <w:tr w14:paraId="370B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5DFD158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23</w:t>
            </w:r>
          </w:p>
        </w:tc>
        <w:tc>
          <w:tcPr>
            <w:tcW w:w="7558" w:type="dxa"/>
            <w:vAlign w:val="center"/>
          </w:tcPr>
          <w:p w14:paraId="538F3671">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提供密码管理功能，支持登陆密码、证书密码以及免密设置和管理；</w:t>
            </w:r>
          </w:p>
        </w:tc>
      </w:tr>
      <w:tr w14:paraId="5607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30517BD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24</w:t>
            </w:r>
          </w:p>
        </w:tc>
        <w:tc>
          <w:tcPr>
            <w:tcW w:w="7558" w:type="dxa"/>
            <w:vAlign w:val="center"/>
          </w:tcPr>
          <w:p w14:paraId="2564242C">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提供问题反馈功能，支持提交问题反馈意见,运营平台上支持查看返回问题并及时回复；</w:t>
            </w:r>
          </w:p>
        </w:tc>
      </w:tr>
      <w:tr w14:paraId="0FBB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288D0F9B">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25</w:t>
            </w:r>
          </w:p>
        </w:tc>
        <w:tc>
          <w:tcPr>
            <w:tcW w:w="7558" w:type="dxa"/>
            <w:vAlign w:val="center"/>
          </w:tcPr>
          <w:p w14:paraId="45888CDF">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提供邀请好友功能，支持分享APP下载链接给好友并赢得邀请奖励；</w:t>
            </w:r>
          </w:p>
        </w:tc>
      </w:tr>
      <w:tr w14:paraId="259B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3216A0D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26</w:t>
            </w:r>
          </w:p>
        </w:tc>
        <w:tc>
          <w:tcPr>
            <w:tcW w:w="7558" w:type="dxa"/>
            <w:vAlign w:val="center"/>
          </w:tcPr>
          <w:p w14:paraId="0AD6CFE5">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提供设置功能，支持查看当版本、设置语言、查看使用帮助资料、查看隐私声明、退出登录；</w:t>
            </w:r>
          </w:p>
        </w:tc>
      </w:tr>
      <w:tr w14:paraId="26F0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7BDE5C26">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序号</w:t>
            </w:r>
          </w:p>
        </w:tc>
        <w:tc>
          <w:tcPr>
            <w:tcW w:w="7558" w:type="dxa"/>
          </w:tcPr>
          <w:p w14:paraId="0A4BAE4A">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非功能指标要求</w:t>
            </w:r>
          </w:p>
        </w:tc>
      </w:tr>
      <w:tr w14:paraId="2F4F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11E67D1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7558" w:type="dxa"/>
          </w:tcPr>
          <w:p w14:paraId="28A68C93">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支持多级协同审核签名，签名数据在移动端协同系统多级流转；</w:t>
            </w:r>
          </w:p>
        </w:tc>
      </w:tr>
      <w:tr w14:paraId="43F3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5533272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7558" w:type="dxa"/>
          </w:tcPr>
          <w:p w14:paraId="18DFFD32">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支持在移动端添加同事，并标明每位用户的职称层级；</w:t>
            </w:r>
          </w:p>
        </w:tc>
      </w:tr>
      <w:tr w14:paraId="0851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14:paraId="630DE51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7558" w:type="dxa"/>
          </w:tcPr>
          <w:p w14:paraId="5B84E627">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支持设置签名流转规则，只能下级医生向层级高的医生流转签名数据；</w:t>
            </w:r>
          </w:p>
        </w:tc>
      </w:tr>
      <w:tr w14:paraId="14CC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88" w:type="dxa"/>
            <w:vAlign w:val="center"/>
          </w:tcPr>
          <w:p w14:paraId="6B9F7F4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7558" w:type="dxa"/>
          </w:tcPr>
          <w:p w14:paraId="422AC797">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支持在移动端可看到签名数据协同流转详情，包括该条数据涉及所有用户签名状态及签名时间；</w:t>
            </w:r>
          </w:p>
        </w:tc>
      </w:tr>
    </w:tbl>
    <w:p w14:paraId="6692F71D">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六、服务期限及付款方式</w:t>
      </w:r>
    </w:p>
    <w:p w14:paraId="5ECEC955">
      <w:pPr>
        <w:rPr>
          <w:rFonts w:hint="default" w:ascii="仿宋" w:hAnsi="仿宋" w:eastAsia="仿宋" w:cs="仿宋"/>
          <w:sz w:val="24"/>
          <w:szCs w:val="24"/>
          <w:lang w:val="en-US" w:eastAsia="zh-CN"/>
        </w:rPr>
      </w:pPr>
      <w:r>
        <w:rPr>
          <w:rFonts w:hint="eastAsia" w:ascii="仿宋" w:hAnsi="仿宋" w:eastAsia="仿宋" w:cs="仿宋"/>
          <w:sz w:val="24"/>
          <w:szCs w:val="24"/>
        </w:rPr>
        <w:t>1、服务期限：</w:t>
      </w:r>
      <w:r>
        <w:rPr>
          <w:rFonts w:hint="eastAsia" w:ascii="仿宋" w:hAnsi="仿宋" w:eastAsia="仿宋" w:cs="仿宋"/>
          <w:sz w:val="24"/>
          <w:szCs w:val="24"/>
          <w:lang w:val="en-US" w:eastAsia="zh-CN"/>
        </w:rPr>
        <w:t>合同签订起始后一年。</w:t>
      </w:r>
    </w:p>
    <w:p w14:paraId="3B2B189C">
      <w:r>
        <w:rPr>
          <w:rFonts w:hint="eastAsia" w:ascii="仿宋" w:hAnsi="仿宋" w:eastAsia="仿宋" w:cs="仿宋"/>
          <w:sz w:val="24"/>
          <w:szCs w:val="24"/>
        </w:rPr>
        <w:t>2、付款方式：按《浙江省财政厅关于进一步发挥政府采购政策功能全力推动经济稳进提质的通知》（浙财采监〔2022〕3号）等文件要求执行，具体付款方式由双方协商后在合同中明确。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0"/>
    <w:multiLevelType w:val="multilevel"/>
    <w:tmpl w:val="0000001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5B4528AE"/>
    <w:multiLevelType w:val="multilevel"/>
    <w:tmpl w:val="5B4528A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5CB017FC"/>
    <w:multiLevelType w:val="multilevel"/>
    <w:tmpl w:val="5CB017FC"/>
    <w:lvl w:ilvl="0" w:tentative="0">
      <w:start w:val="1"/>
      <w:numFmt w:val="decimal"/>
      <w:pStyle w:val="2"/>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lvlText w:val=""/>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2B1789"/>
    <w:rsid w:val="1A093895"/>
    <w:rsid w:val="2D2B1789"/>
    <w:rsid w:val="48236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rFonts w:ascii="Times New Roman" w:hAnsi="Times New Roman" w:eastAsia="仿宋_GB2312"/>
      <w:b/>
      <w:kern w:val="44"/>
      <w:sz w:val="32"/>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customStyle="1" w:styleId="7">
    <w:name w:val="方案正文"/>
    <w:basedOn w:val="3"/>
    <w:autoRedefine/>
    <w:qFormat/>
    <w:uiPriority w:val="0"/>
    <w:pPr>
      <w:spacing w:line="360" w:lineRule="auto"/>
      <w:ind w:firstLine="200" w:firstLineChars="200"/>
    </w:pPr>
    <w:rPr>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3956</Words>
  <Characters>4010</Characters>
  <Lines>0</Lines>
  <Paragraphs>0</Paragraphs>
  <TotalTime>2</TotalTime>
  <ScaleCrop>false</ScaleCrop>
  <LinksUpToDate>false</LinksUpToDate>
  <CharactersWithSpaces>4023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2025-07-22T07:25:00Z</dcterms:created>
  <dc:creator>GWJ逍遥星空</dc:creator>
  <cp:lastModifiedBy>企业用户_591661292</cp:lastModifiedBy>
  <dcterms:modified xsi:type="dcterms:W3CDTF">2025-07-23T00:20:14Z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4D76162E05FC42E5A829C5D1FE3B8EF8_11</vt:lpwstr>
  </property>
  <property fmtid="{D5CDD505-2E9C-101B-9397-08002B2CF9AE}" pid="4" name="KSOTemplateDocerSaveRecord">
    <vt:lpwstr>eyJoZGlkIjoiNmI5YWU2MWJlOGY3ZGFjNmQ0ODRjZGNmNjk4MGMzZTEiLCJ1c2VySWQiOiIxNjIwNjU5MDEzIn0=</vt:lpwstr>
  </property>
</Properties>
</file>