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绍兴市第七人民医院消防系统维护保养服务采购项目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SXHY-2025CG-0910</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九</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绍兴市第七人民医院消防系统维护保养服务采购项目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SXHY-2025CG-0910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45</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45</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45</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消防系统维护保养服务。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699226B">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7B055B2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5BA3B4B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7A70A69E">
      <w:pPr>
        <w:spacing w:line="44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本项目投标采用以下方式：</w:t>
      </w:r>
    </w:p>
    <w:p w14:paraId="3B5E83D9">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834433526</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29EB49E8">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5C2D563E">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A55B2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4.4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806"/>
      <w:bookmarkStart w:id="6" w:name="_Toc28359096"/>
      <w:bookmarkStart w:id="7" w:name="_Toc28359019"/>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28359020"/>
      <w:bookmarkStart w:id="11" w:name="_Toc3539380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bookmarkStart w:id="168" w:name="_GoBack"/>
      <w:bookmarkEnd w:id="168"/>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许静丽、沈潮颖</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21"/>
      <w:bookmarkStart w:id="14" w:name="_Toc35393639"/>
      <w:bookmarkStart w:id="15" w:name="_Toc35393808"/>
      <w:bookmarkStart w:id="16"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68072990"/>
      <w:bookmarkEnd w:id="21"/>
      <w:bookmarkStart w:id="22" w:name="_Hlt75236011"/>
      <w:bookmarkEnd w:id="22"/>
      <w:bookmarkStart w:id="23" w:name="_Hlt68403820"/>
      <w:bookmarkEnd w:id="23"/>
      <w:bookmarkStart w:id="24" w:name="_Hlt75236290"/>
      <w:bookmarkEnd w:id="24"/>
      <w:bookmarkStart w:id="25" w:name="_Hlt68073093"/>
      <w:bookmarkEnd w:id="25"/>
      <w:bookmarkStart w:id="26" w:name="_Hlt74707468"/>
      <w:bookmarkEnd w:id="26"/>
      <w:bookmarkStart w:id="27" w:name="_Hlt74730295"/>
      <w:bookmarkEnd w:id="27"/>
      <w:bookmarkStart w:id="28" w:name="_Hlt75236101"/>
      <w:bookmarkEnd w:id="28"/>
      <w:bookmarkStart w:id="29" w:name="_Hlt68057669"/>
      <w:bookmarkEnd w:id="29"/>
      <w:bookmarkStart w:id="30" w:name="_Hlt68072998"/>
      <w:bookmarkEnd w:id="30"/>
      <w:bookmarkStart w:id="31" w:name="_Hlt74714665"/>
      <w:bookmarkEnd w:id="31"/>
      <w:bookmarkStart w:id="32" w:name="_Hlt74729768"/>
      <w:bookmarkEnd w:id="32"/>
      <w:bookmarkStart w:id="33" w:name="_Toc81372953"/>
      <w:bookmarkStart w:id="34" w:name="_Toc84325929"/>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绍兴市第七人民医院消防系统维护保养服务采购项目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45</w:t>
      </w:r>
      <w:r>
        <w:rPr>
          <w:rFonts w:hint="eastAsia" w:ascii="仿宋" w:hAnsi="仿宋" w:eastAsia="仿宋" w:cs="Arial"/>
          <w:b/>
          <w:bCs/>
          <w:color w:val="000000" w:themeColor="text1"/>
          <w:sz w:val="24"/>
          <w:highlight w:val="none"/>
          <w14:textFill>
            <w14:solidFill>
              <w14:schemeClr w14:val="tx1"/>
            </w14:solidFill>
          </w14:textFill>
        </w:rPr>
        <w:t>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22B6CB3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一、项目及预算说明</w:t>
      </w:r>
    </w:p>
    <w:p w14:paraId="55CF3A61">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1.1本项目预算上限（3年）45万元。包含2部分内容，日常维保预算和维修材料预算。</w:t>
      </w:r>
    </w:p>
    <w:p w14:paraId="29BC549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1.2日常维保预算：包含日常维修安装保养等人工、烟感模块、温感模块、单次100元以下零星维修材料的费用。预算上限5万元/年，（3年合计）15万元。</w:t>
      </w:r>
    </w:p>
    <w:p w14:paraId="25C19AA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1.3维修材料预算：单次超过100元的维修材料费用，根据实际情况支付，预算上限（合同期内）与日常维保费用合计不超过45万元。</w:t>
      </w:r>
    </w:p>
    <w:p w14:paraId="5672EDD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二、维保内容</w:t>
      </w:r>
    </w:p>
    <w:p w14:paraId="607CD6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2.1普消系统：水泵控制柜、远程启泵控制系统等；</w:t>
      </w:r>
    </w:p>
    <w:p w14:paraId="680622C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2.2气体灭火系统；</w:t>
      </w:r>
    </w:p>
    <w:p w14:paraId="7D47DC4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2.3室内消火栓系统：消防水泵、联动接口及启动模块等；</w:t>
      </w:r>
    </w:p>
    <w:p w14:paraId="49E75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2.4火灾自动报警及控制系统：集中报警主机、联动控制主机、烟温感探测器、手动及消防按钮、联动水泵、联动接口及启动模块等；</w:t>
      </w:r>
    </w:p>
    <w:p w14:paraId="5E39D80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2.5消防对讲电话系统：消防对讲电话主机、插口；</w:t>
      </w:r>
    </w:p>
    <w:p w14:paraId="06021C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2.6消防监控室：消防设备、各接口及备用电源等；</w:t>
      </w:r>
    </w:p>
    <w:p w14:paraId="5D5E949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2.7消防广播系统；</w:t>
      </w:r>
    </w:p>
    <w:p w14:paraId="21B435D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2.8与消防有关的其他消防工程设施；</w:t>
      </w:r>
    </w:p>
    <w:p w14:paraId="7DC4BFD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三、工作要求</w:t>
      </w:r>
    </w:p>
    <w:p w14:paraId="626B836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中标人应提供给采购人整个消防报警、火灾联动等系统工程能正常运行，全部设施均达到良好要求的技术服务。一旦系统发生故障，中标人应在接到采购人通知后30分钟内派人修理，如有特殊情况不能及时进行修理的，需征得采购人同意。</w:t>
      </w:r>
    </w:p>
    <w:p w14:paraId="5FF2C49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3.2中标人每个月对消防报警系统进行全面巡检、维护，发现问题及时维修，并书面将巡检、维护记录递交给采购人签字，以利于采购人对中标人的工作质量进行监督。中标人应配合采购人进行上级专项安全检查。</w:t>
      </w:r>
    </w:p>
    <w:p w14:paraId="4B98BCF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3.3中标人根据维护要求制定方案，定期进行月检、季检、年检，保证在一个年度内对全院各个部位的消防设施有一个全面的巡检、测试、检验检查方案。每次维护保养和检测工作完成后，应提交与公安消防部门一致的登记表格给采购人存档；维修保养合同期满后，中标人应向采购人提交详细的维修保养报告，并汇总全年维修保养月、季、年报表，检测、试验记录和统计资料等，报采购人管理部门签字确认存档。</w:t>
      </w:r>
    </w:p>
    <w:p w14:paraId="32750FF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3.4中标人在维保期内，若采购人因设施维保事项通知中标人到现场，中标人两次不按时到达现场处理的，视为违约，由此造成的损失由中标人负责。　</w:t>
      </w:r>
    </w:p>
    <w:p w14:paraId="41275F4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3.5采购人需小范围拆、装、移该系统的某些部位时，中标人负责管线安装和拆除工作，并做好书面记录交采购人。</w:t>
      </w:r>
    </w:p>
    <w:p w14:paraId="6905B51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3.6在协议期内发现设施损坏，中标人应尽力修复，必要时及时更换设施设备以保证系统的安全正常运转。</w:t>
      </w:r>
    </w:p>
    <w:p w14:paraId="7B5FC14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3.7在发生火灾时，由于消防各系统及内容款项中的设施或线路不能正常工作，中标人应承担相应责任。</w:t>
      </w:r>
    </w:p>
    <w:p w14:paraId="0BBEA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3.8按照国家规范，烟、温感探头等按照时间要求清洗的内容（根据采购人提出的方案，结合招标文件要求），需要及时保养清洗，费用包含在本次招标范围内。</w:t>
      </w:r>
    </w:p>
    <w:p w14:paraId="0A8ACC7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3.9根据消防主管部门每一年一次的消防报警设施等的年检要求，采购人在消防设施年检期间，由中标人配合第三方检测机构共同完成，并保证获得合格检测报告提交给采购人，费用由采购人负责。第三方检测机构检测出来的内容由中标人负责修复。</w:t>
      </w:r>
    </w:p>
    <w:p w14:paraId="17B292B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3.10更换的维保材料必须满足国家法律法规的强制要求。</w:t>
      </w:r>
    </w:p>
    <w:p w14:paraId="30DD8BE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3.11招标文件中的探测器指的是烟感、温感等设施。探测器清洗后须有相关认证的清洗合格证件。</w:t>
      </w:r>
    </w:p>
    <w:p w14:paraId="216AAF9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主要维修材料:1）主要维修材料报价列入报价文件部分（详见主要维修材料报价单），数量按实际需求采购；2）单次维修材料在100元及以下（含温感、烟感模块）的由中标人负责（含在维保费用中，采购人不再另行支付费用），100元以上的由采购人负责；3）更换的维修材料均须提供产品合格证；4）合同执行过程中，采购人有权选择自行采购。</w:t>
      </w:r>
    </w:p>
    <w:p w14:paraId="7CB03A5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四、合同条款</w:t>
      </w:r>
    </w:p>
    <w:p w14:paraId="36A1F7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4.1付款方式：根据《浙江省财政厅关于进一步发挥政府采购政策功能全力推动经济稳进提质的通知》（浙财采监〔2022〕3号）等文件要求执行，具体付款方式由双方协商后在合同中明确。</w:t>
      </w:r>
    </w:p>
    <w:p w14:paraId="5643AC53">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4.2合同期限：暂定为3年。</w:t>
      </w:r>
    </w:p>
    <w:p w14:paraId="17084B9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五、维修材料清单</w:t>
      </w:r>
    </w:p>
    <w:p w14:paraId="293F9F9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采购人实际业务需求其它同档次优质品牌的产品，进行方案优化。所投产品必须与采购人现有的消防设施相匹配。所投产品不在推荐品牌范围内的，需提供的产品性能指标详细材料和证明其产品与推荐品牌同档次、具有可比性,且品牌、型号性能相当或高于、服务条款相等或高于、符合采购人实际业务需求同档次优质品牌的说明书，无法在投标文件中提供的，其投标可能会被拒绝（或作无效投标）。</w:t>
      </w:r>
    </w:p>
    <w:p w14:paraId="22AEFAB9">
      <w:pPr>
        <w:keepNext w:val="0"/>
        <w:keepLines w:val="0"/>
        <w:pageBreakBefore w:val="0"/>
        <w:kinsoku/>
        <w:wordWrap/>
        <w:overflowPunct/>
        <w:topLinePunct w:val="0"/>
        <w:bidi w:val="0"/>
        <w:adjustRightInd w:val="0"/>
        <w:spacing w:line="400" w:lineRule="exact"/>
        <w:ind w:firstLine="0" w:firstLineChars="0"/>
        <w:jc w:val="center"/>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主要维修材料清单</w:t>
      </w:r>
    </w:p>
    <w:p w14:paraId="1990259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 xml:space="preserve">参考品牌：松江、西门子、西安莱科思或同等档次及以上品牌           </w:t>
      </w:r>
    </w:p>
    <w:p w14:paraId="119379E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sz w:val="24"/>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（单位：人民币元）</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4726"/>
        <w:gridCol w:w="1969"/>
      </w:tblGrid>
      <w:tr w14:paraId="5381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5559418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tcBorders>
              <w:top w:val="single" w:color="000000" w:sz="8" w:space="0"/>
              <w:left w:val="nil"/>
              <w:bottom w:val="single" w:color="000000" w:sz="8" w:space="0"/>
              <w:right w:val="single" w:color="000000" w:sz="4" w:space="0"/>
            </w:tcBorders>
            <w:vAlign w:val="center"/>
          </w:tcPr>
          <w:p w14:paraId="64F5BD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5E32B0A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086ED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834F31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tcBorders>
              <w:top w:val="nil"/>
              <w:left w:val="nil"/>
              <w:bottom w:val="single" w:color="000000" w:sz="4" w:space="0"/>
              <w:right w:val="single" w:color="000000" w:sz="4" w:space="0"/>
            </w:tcBorders>
            <w:vAlign w:val="center"/>
          </w:tcPr>
          <w:p w14:paraId="5A29D61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9D6B1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3E1D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5A0479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tcBorders>
              <w:top w:val="nil"/>
              <w:left w:val="nil"/>
              <w:bottom w:val="single" w:color="000000" w:sz="4" w:space="0"/>
              <w:right w:val="single" w:color="000000" w:sz="4" w:space="0"/>
            </w:tcBorders>
            <w:vAlign w:val="center"/>
          </w:tcPr>
          <w:p w14:paraId="2963C7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000D03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545B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BEEF7D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tcBorders>
              <w:top w:val="nil"/>
              <w:left w:val="nil"/>
              <w:bottom w:val="single" w:color="000000" w:sz="4" w:space="0"/>
              <w:right w:val="single" w:color="000000" w:sz="4" w:space="0"/>
            </w:tcBorders>
            <w:vAlign w:val="center"/>
          </w:tcPr>
          <w:p w14:paraId="68E6E39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0A8CA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5C11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DC315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tcBorders>
              <w:top w:val="nil"/>
              <w:left w:val="nil"/>
              <w:bottom w:val="single" w:color="000000" w:sz="4" w:space="0"/>
              <w:right w:val="single" w:color="000000" w:sz="4" w:space="0"/>
            </w:tcBorders>
            <w:vAlign w:val="center"/>
          </w:tcPr>
          <w:p w14:paraId="44CB69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35E83FD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3E00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B966D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tcBorders>
              <w:top w:val="nil"/>
              <w:left w:val="nil"/>
              <w:bottom w:val="single" w:color="000000" w:sz="4" w:space="0"/>
              <w:right w:val="single" w:color="000000" w:sz="4" w:space="0"/>
            </w:tcBorders>
            <w:vAlign w:val="center"/>
          </w:tcPr>
          <w:p w14:paraId="69FDB8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3BC556B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41B6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77CB3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tcBorders>
              <w:top w:val="nil"/>
              <w:left w:val="nil"/>
              <w:bottom w:val="single" w:color="000000" w:sz="4" w:space="0"/>
              <w:right w:val="single" w:color="000000" w:sz="4" w:space="0"/>
            </w:tcBorders>
            <w:vAlign w:val="center"/>
          </w:tcPr>
          <w:p w14:paraId="7014597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5E3267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7C96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FA95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tcBorders>
              <w:top w:val="nil"/>
              <w:left w:val="nil"/>
              <w:bottom w:val="single" w:color="000000" w:sz="4" w:space="0"/>
              <w:right w:val="single" w:color="000000" w:sz="4" w:space="0"/>
            </w:tcBorders>
            <w:vAlign w:val="center"/>
          </w:tcPr>
          <w:p w14:paraId="4037B10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3982CFF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2EB5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1B7190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tcBorders>
              <w:top w:val="nil"/>
              <w:left w:val="nil"/>
              <w:bottom w:val="single" w:color="000000" w:sz="4" w:space="0"/>
              <w:right w:val="single" w:color="000000" w:sz="4" w:space="0"/>
            </w:tcBorders>
            <w:vAlign w:val="center"/>
          </w:tcPr>
          <w:p w14:paraId="6219A2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25041E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4DCC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EFBDCA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tcBorders>
              <w:top w:val="nil"/>
              <w:left w:val="nil"/>
              <w:bottom w:val="single" w:color="000000" w:sz="4" w:space="0"/>
              <w:right w:val="single" w:color="000000" w:sz="4" w:space="0"/>
            </w:tcBorders>
            <w:vAlign w:val="center"/>
          </w:tcPr>
          <w:p w14:paraId="611FB61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0ACBE9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374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1AE1F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tcBorders>
              <w:top w:val="nil"/>
              <w:left w:val="nil"/>
              <w:bottom w:val="single" w:color="000000" w:sz="4" w:space="0"/>
              <w:right w:val="single" w:color="000000" w:sz="4" w:space="0"/>
            </w:tcBorders>
            <w:vAlign w:val="center"/>
          </w:tcPr>
          <w:p w14:paraId="1C0D9FB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5AF24F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62A1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95C5D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tcBorders>
              <w:top w:val="nil"/>
              <w:left w:val="nil"/>
              <w:bottom w:val="single" w:color="000000" w:sz="4" w:space="0"/>
              <w:right w:val="single" w:color="000000" w:sz="4" w:space="0"/>
            </w:tcBorders>
            <w:vAlign w:val="center"/>
          </w:tcPr>
          <w:p w14:paraId="32631F4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2EFA28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70F3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232DA8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tcBorders>
              <w:top w:val="nil"/>
              <w:left w:val="nil"/>
              <w:bottom w:val="single" w:color="000000" w:sz="4" w:space="0"/>
              <w:right w:val="single" w:color="000000" w:sz="4" w:space="0"/>
            </w:tcBorders>
            <w:vAlign w:val="center"/>
          </w:tcPr>
          <w:p w14:paraId="449B192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1680B77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52EB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50019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tcBorders>
              <w:top w:val="single" w:color="000000" w:sz="4" w:space="0"/>
              <w:left w:val="nil"/>
              <w:bottom w:val="single" w:color="000000" w:sz="4" w:space="0"/>
              <w:right w:val="single" w:color="000000" w:sz="4" w:space="0"/>
            </w:tcBorders>
            <w:vAlign w:val="center"/>
          </w:tcPr>
          <w:p w14:paraId="0F4F24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76268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0CFF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3C5344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tcBorders>
              <w:top w:val="nil"/>
              <w:left w:val="nil"/>
              <w:bottom w:val="single" w:color="000000" w:sz="4" w:space="0"/>
              <w:right w:val="single" w:color="000000" w:sz="4" w:space="0"/>
            </w:tcBorders>
            <w:vAlign w:val="center"/>
          </w:tcPr>
          <w:p w14:paraId="26323D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62E69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418A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2CD2D2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tcBorders>
              <w:top w:val="nil"/>
              <w:left w:val="nil"/>
              <w:bottom w:val="single" w:color="000000" w:sz="4" w:space="0"/>
              <w:right w:val="single" w:color="000000" w:sz="4" w:space="0"/>
            </w:tcBorders>
            <w:vAlign w:val="center"/>
          </w:tcPr>
          <w:p w14:paraId="7E7D5E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245C85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99A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5F301B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tcBorders>
              <w:top w:val="nil"/>
              <w:left w:val="nil"/>
              <w:bottom w:val="single" w:color="000000" w:sz="4" w:space="0"/>
              <w:right w:val="single" w:color="000000" w:sz="4" w:space="0"/>
            </w:tcBorders>
            <w:vAlign w:val="center"/>
          </w:tcPr>
          <w:p w14:paraId="0B162AA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466E209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63F5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2402D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tcBorders>
              <w:top w:val="single" w:color="000000" w:sz="4" w:space="0"/>
              <w:left w:val="single" w:color="000000" w:sz="4" w:space="0"/>
              <w:bottom w:val="single" w:color="000000" w:sz="4" w:space="0"/>
              <w:right w:val="single" w:color="000000" w:sz="4" w:space="0"/>
            </w:tcBorders>
            <w:vAlign w:val="center"/>
          </w:tcPr>
          <w:p w14:paraId="27A11D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4B2D8A7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4402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221C0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tcBorders>
              <w:top w:val="single" w:color="000000" w:sz="4" w:space="0"/>
              <w:left w:val="single" w:color="000000" w:sz="4" w:space="0"/>
              <w:bottom w:val="single" w:color="000000" w:sz="4" w:space="0"/>
              <w:right w:val="single" w:color="000000" w:sz="4" w:space="0"/>
            </w:tcBorders>
            <w:vAlign w:val="center"/>
          </w:tcPr>
          <w:p w14:paraId="05E37F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7C6824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047D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12A04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tcBorders>
              <w:top w:val="single" w:color="000000" w:sz="4" w:space="0"/>
              <w:left w:val="single" w:color="000000" w:sz="4" w:space="0"/>
              <w:bottom w:val="single" w:color="000000" w:sz="4" w:space="0"/>
              <w:right w:val="single" w:color="000000" w:sz="4" w:space="0"/>
            </w:tcBorders>
            <w:vAlign w:val="center"/>
          </w:tcPr>
          <w:p w14:paraId="7A12E1A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6B7601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7872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C4C0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tcBorders>
              <w:top w:val="single" w:color="000000" w:sz="4" w:space="0"/>
              <w:left w:val="single" w:color="000000" w:sz="4" w:space="0"/>
              <w:bottom w:val="single" w:color="000000" w:sz="4" w:space="0"/>
              <w:right w:val="single" w:color="000000" w:sz="4" w:space="0"/>
            </w:tcBorders>
            <w:vAlign w:val="center"/>
          </w:tcPr>
          <w:p w14:paraId="16AF88A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5DA8AE1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3C7D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2FDF3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tcBorders>
              <w:top w:val="single" w:color="000000" w:sz="4" w:space="0"/>
              <w:left w:val="single" w:color="000000" w:sz="4" w:space="0"/>
              <w:bottom w:val="single" w:color="000000" w:sz="4" w:space="0"/>
              <w:right w:val="single" w:color="000000" w:sz="4" w:space="0"/>
            </w:tcBorders>
            <w:vAlign w:val="center"/>
          </w:tcPr>
          <w:p w14:paraId="56CBBB9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385B871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43DFB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AF978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tcBorders>
              <w:top w:val="single" w:color="000000" w:sz="4" w:space="0"/>
              <w:left w:val="single" w:color="000000" w:sz="4" w:space="0"/>
              <w:bottom w:val="single" w:color="000000" w:sz="4" w:space="0"/>
              <w:right w:val="single" w:color="000000" w:sz="4" w:space="0"/>
            </w:tcBorders>
            <w:vAlign w:val="center"/>
          </w:tcPr>
          <w:p w14:paraId="0D47A9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0E970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0B79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038802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tcBorders>
              <w:top w:val="single" w:color="000000" w:sz="4" w:space="0"/>
              <w:left w:val="single" w:color="000000" w:sz="4" w:space="0"/>
              <w:bottom w:val="single" w:color="000000" w:sz="4" w:space="0"/>
              <w:right w:val="single" w:color="000000" w:sz="4" w:space="0"/>
            </w:tcBorders>
            <w:vAlign w:val="center"/>
          </w:tcPr>
          <w:p w14:paraId="405746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E0ADD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4B20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F48C9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tcBorders>
              <w:top w:val="single" w:color="000000" w:sz="4" w:space="0"/>
              <w:left w:val="single" w:color="000000" w:sz="4" w:space="0"/>
              <w:bottom w:val="single" w:color="000000" w:sz="4" w:space="0"/>
              <w:right w:val="single" w:color="000000" w:sz="4" w:space="0"/>
            </w:tcBorders>
            <w:vAlign w:val="center"/>
          </w:tcPr>
          <w:p w14:paraId="5EF826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2A07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5F5B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632BE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tcBorders>
              <w:top w:val="single" w:color="000000" w:sz="4" w:space="0"/>
              <w:left w:val="single" w:color="000000" w:sz="4" w:space="0"/>
              <w:bottom w:val="single" w:color="000000" w:sz="4" w:space="0"/>
              <w:right w:val="single" w:color="000000" w:sz="4" w:space="0"/>
            </w:tcBorders>
            <w:vAlign w:val="center"/>
          </w:tcPr>
          <w:p w14:paraId="1CB0AEC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7FB50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5273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4C78B1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tcBorders>
              <w:top w:val="single" w:color="000000" w:sz="4" w:space="0"/>
              <w:left w:val="single" w:color="000000" w:sz="4" w:space="0"/>
              <w:bottom w:val="single" w:color="000000" w:sz="4" w:space="0"/>
              <w:right w:val="single" w:color="000000" w:sz="4" w:space="0"/>
            </w:tcBorders>
            <w:vAlign w:val="center"/>
          </w:tcPr>
          <w:p w14:paraId="482C322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3960DD2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1B24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DADEE3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tcBorders>
              <w:top w:val="single" w:color="000000" w:sz="4" w:space="0"/>
              <w:left w:val="single" w:color="000000" w:sz="4" w:space="0"/>
              <w:bottom w:val="single" w:color="000000" w:sz="4" w:space="0"/>
              <w:right w:val="single" w:color="000000" w:sz="4" w:space="0"/>
            </w:tcBorders>
            <w:vAlign w:val="center"/>
          </w:tcPr>
          <w:p w14:paraId="066BD5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102F925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5B16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871193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tcBorders>
              <w:top w:val="single" w:color="000000" w:sz="4" w:space="0"/>
              <w:left w:val="single" w:color="000000" w:sz="4" w:space="0"/>
              <w:bottom w:val="single" w:color="000000" w:sz="4" w:space="0"/>
              <w:right w:val="single" w:color="000000" w:sz="4" w:space="0"/>
            </w:tcBorders>
            <w:vAlign w:val="center"/>
          </w:tcPr>
          <w:p w14:paraId="5F5D5FD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15028AA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5061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F0B26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tcBorders>
              <w:top w:val="single" w:color="000000" w:sz="4" w:space="0"/>
              <w:left w:val="single" w:color="000000" w:sz="4" w:space="0"/>
              <w:bottom w:val="single" w:color="000000" w:sz="4" w:space="0"/>
              <w:right w:val="single" w:color="000000" w:sz="4" w:space="0"/>
            </w:tcBorders>
            <w:vAlign w:val="center"/>
          </w:tcPr>
          <w:p w14:paraId="13C5F7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B19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2CB7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0D2FFD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tcBorders>
              <w:top w:val="single" w:color="000000" w:sz="4" w:space="0"/>
              <w:left w:val="single" w:color="000000" w:sz="4" w:space="0"/>
              <w:bottom w:val="single" w:color="000000" w:sz="4" w:space="0"/>
              <w:right w:val="single" w:color="000000" w:sz="4" w:space="0"/>
            </w:tcBorders>
            <w:vAlign w:val="center"/>
          </w:tcPr>
          <w:p w14:paraId="72EE3F9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07463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0EC7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EABC8F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tcBorders>
              <w:top w:val="single" w:color="000000" w:sz="4" w:space="0"/>
              <w:left w:val="single" w:color="000000" w:sz="4" w:space="0"/>
              <w:bottom w:val="single" w:color="000000" w:sz="4" w:space="0"/>
              <w:right w:val="single" w:color="000000" w:sz="4" w:space="0"/>
            </w:tcBorders>
            <w:vAlign w:val="center"/>
          </w:tcPr>
          <w:p w14:paraId="6D8648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4797276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69B3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5FC685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tcBorders>
              <w:top w:val="single" w:color="000000" w:sz="4" w:space="0"/>
              <w:left w:val="single" w:color="000000" w:sz="4" w:space="0"/>
              <w:bottom w:val="single" w:color="000000" w:sz="4" w:space="0"/>
              <w:right w:val="single" w:color="000000" w:sz="4" w:space="0"/>
            </w:tcBorders>
            <w:vAlign w:val="center"/>
          </w:tcPr>
          <w:p w14:paraId="08A5DC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B5B0E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bl>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19273"/>
      <w:bookmarkStart w:id="40" w:name="_Toc22967"/>
      <w:bookmarkStart w:id="41" w:name="_Toc15367"/>
      <w:bookmarkStart w:id="42" w:name="_Toc20421"/>
      <w:bookmarkStart w:id="43" w:name="_Toc28855"/>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6773"/>
      <w:bookmarkStart w:id="45" w:name="_Toc2918"/>
      <w:bookmarkStart w:id="46" w:name="_Toc6311"/>
      <w:bookmarkStart w:id="47" w:name="_Toc22185"/>
      <w:bookmarkStart w:id="48" w:name="_Toc18585"/>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21124"/>
      <w:bookmarkStart w:id="51" w:name="_Toc4929"/>
      <w:bookmarkStart w:id="52" w:name="_Toc13918"/>
      <w:bookmarkStart w:id="53" w:name="_Toc1386"/>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14993"/>
      <w:bookmarkStart w:id="55" w:name="_Toc3654"/>
      <w:bookmarkStart w:id="56" w:name="_Toc30158"/>
      <w:bookmarkStart w:id="57" w:name="_Toc30506"/>
      <w:bookmarkStart w:id="58" w:name="_Toc2691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814"/>
      <w:bookmarkStart w:id="60" w:name="_Toc10340"/>
      <w:bookmarkStart w:id="61" w:name="_Toc22618"/>
      <w:bookmarkStart w:id="62" w:name="_Toc8772"/>
      <w:bookmarkStart w:id="63" w:name="_Toc3625"/>
      <w:bookmarkStart w:id="64" w:name="_Toc31421"/>
      <w:bookmarkStart w:id="65" w:name="_Toc11108"/>
      <w:bookmarkStart w:id="66" w:name="_Toc4760"/>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3079"/>
      <w:bookmarkStart w:id="68" w:name="_Toc8586"/>
      <w:bookmarkStart w:id="69" w:name="_Toc5698"/>
      <w:bookmarkStart w:id="70" w:name="_Toc2375"/>
      <w:bookmarkStart w:id="71" w:name="_Toc24662"/>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30329"/>
      <w:bookmarkStart w:id="73" w:name="_Toc26807"/>
      <w:bookmarkStart w:id="74" w:name="_Toc9497"/>
      <w:bookmarkStart w:id="75" w:name="_Toc18683"/>
      <w:bookmarkStart w:id="76"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28375"/>
      <w:bookmarkStart w:id="78" w:name="_Toc16021"/>
      <w:bookmarkStart w:id="79" w:name="_Toc15583"/>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1173"/>
      <w:bookmarkStart w:id="81" w:name="_Toc15322"/>
      <w:bookmarkStart w:id="82"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31297"/>
      <w:bookmarkStart w:id="84" w:name="_Toc5228"/>
      <w:bookmarkStart w:id="85" w:name="_Toc25079"/>
      <w:bookmarkStart w:id="86" w:name="_Toc14021"/>
      <w:bookmarkStart w:id="87" w:name="_Toc19680"/>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3769"/>
      <w:bookmarkStart w:id="89" w:name="_Toc31402"/>
      <w:bookmarkStart w:id="90" w:name="_Toc23289"/>
      <w:bookmarkStart w:id="91" w:name="_Toc16752"/>
      <w:bookmarkStart w:id="92" w:name="_Toc1953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27945"/>
      <w:bookmarkStart w:id="94" w:name="_Toc12412"/>
      <w:bookmarkStart w:id="95" w:name="_Toc9161"/>
      <w:bookmarkStart w:id="96" w:name="_Toc4133"/>
      <w:bookmarkStart w:id="97" w:name="_Toc13673"/>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15447"/>
      <w:bookmarkStart w:id="99" w:name="_Toc31233"/>
      <w:bookmarkStart w:id="100" w:name="_Toc26555"/>
      <w:bookmarkStart w:id="101" w:name="_Toc32670"/>
      <w:bookmarkStart w:id="102" w:name="_Toc22011"/>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3467"/>
      <w:bookmarkStart w:id="104" w:name="_Toc16163"/>
      <w:bookmarkStart w:id="105" w:name="_Toc30507"/>
      <w:bookmarkStart w:id="106" w:name="_Toc13154"/>
      <w:bookmarkStart w:id="107" w:name="_Toc18990"/>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10663"/>
      <w:bookmarkStart w:id="112" w:name="_Toc42"/>
      <w:bookmarkStart w:id="113" w:name="_Toc23368"/>
      <w:bookmarkStart w:id="114" w:name="_Toc26689"/>
      <w:bookmarkStart w:id="115" w:name="_Toc21830"/>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26633"/>
      <w:bookmarkStart w:id="117" w:name="_Toc32494"/>
      <w:bookmarkStart w:id="118" w:name="_Toc4720"/>
      <w:bookmarkStart w:id="119" w:name="_Toc14371"/>
      <w:bookmarkStart w:id="120" w:name="_Toc25571"/>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3854"/>
      <w:bookmarkStart w:id="122" w:name="_Toc25783"/>
      <w:bookmarkStart w:id="123" w:name="_Toc14115"/>
      <w:bookmarkStart w:id="124" w:name="_Toc24465"/>
      <w:bookmarkStart w:id="125"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14814"/>
      <w:bookmarkStart w:id="127" w:name="_Toc25525"/>
      <w:bookmarkStart w:id="128" w:name="_Toc26883"/>
      <w:bookmarkStart w:id="129" w:name="_Toc30105"/>
      <w:bookmarkStart w:id="130" w:name="_Toc731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016"/>
      <w:bookmarkStart w:id="132" w:name="_Toc1123"/>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7363"/>
      <w:bookmarkStart w:id="135" w:name="_Toc14525"/>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9808"/>
      <w:bookmarkStart w:id="138" w:name="_Toc2308"/>
      <w:bookmarkStart w:id="139" w:name="_Toc25198"/>
      <w:bookmarkStart w:id="140" w:name="_Toc12666"/>
      <w:bookmarkStart w:id="141" w:name="_Toc31892"/>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0808"/>
      <w:bookmarkStart w:id="145" w:name="_Toc27644"/>
      <w:bookmarkStart w:id="146" w:name="_Toc12254"/>
      <w:bookmarkStart w:id="147" w:name="_Toc28906"/>
      <w:bookmarkStart w:id="148" w:name="_Toc5063"/>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18540"/>
      <w:bookmarkStart w:id="150" w:name="_Toc30599"/>
      <w:bookmarkStart w:id="151"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279701263"/>
      <w:bookmarkStart w:id="153" w:name="_Toc10330"/>
      <w:bookmarkStart w:id="154" w:name="_Toc487900373"/>
      <w:bookmarkStart w:id="155" w:name="_Toc259093692"/>
      <w:bookmarkStart w:id="156" w:name="_Toc18567"/>
      <w:bookmarkStart w:id="157" w:name="_Toc1277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298"/>
        <w:gridCol w:w="5707"/>
        <w:gridCol w:w="820"/>
      </w:tblGrid>
      <w:tr w14:paraId="771F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94" w:type="dxa"/>
            <w:noWrap w:val="0"/>
            <w:vAlign w:val="center"/>
          </w:tcPr>
          <w:p w14:paraId="33DD1884">
            <w:pPr>
              <w:jc w:val="center"/>
              <w:rPr>
                <w:rFonts w:hint="eastAsia" w:ascii="仿宋" w:hAnsi="仿宋" w:eastAsia="仿宋" w:cs="仿宋"/>
                <w:b/>
                <w:bCs/>
                <w:color w:val="000000"/>
                <w:sz w:val="21"/>
                <w:szCs w:val="21"/>
                <w:vertAlign w:val="baseline"/>
                <w:lang w:eastAsia="zh-CN"/>
              </w:rPr>
            </w:pPr>
            <w:r>
              <w:rPr>
                <w:rFonts w:hint="eastAsia" w:ascii="仿宋" w:hAnsi="仿宋" w:eastAsia="仿宋" w:cs="仿宋"/>
                <w:b/>
                <w:bCs/>
                <w:color w:val="000000"/>
                <w:sz w:val="21"/>
                <w:szCs w:val="21"/>
                <w:vertAlign w:val="baseline"/>
                <w:lang w:eastAsia="zh-CN"/>
              </w:rPr>
              <w:t>序号</w:t>
            </w:r>
          </w:p>
        </w:tc>
        <w:tc>
          <w:tcPr>
            <w:tcW w:w="1298" w:type="dxa"/>
            <w:noWrap w:val="0"/>
            <w:vAlign w:val="center"/>
          </w:tcPr>
          <w:p w14:paraId="14220BE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评审项目</w:t>
            </w:r>
          </w:p>
        </w:tc>
        <w:tc>
          <w:tcPr>
            <w:tcW w:w="5707" w:type="dxa"/>
            <w:noWrap w:val="0"/>
            <w:vAlign w:val="center"/>
          </w:tcPr>
          <w:p w14:paraId="29CEE70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技术评审因素及评审标准</w:t>
            </w:r>
          </w:p>
        </w:tc>
        <w:tc>
          <w:tcPr>
            <w:tcW w:w="820" w:type="dxa"/>
            <w:noWrap w:val="0"/>
            <w:vAlign w:val="center"/>
          </w:tcPr>
          <w:p w14:paraId="5064D5BC">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val="en-US" w:eastAsia="zh-CN"/>
              </w:rPr>
              <w:t>分值</w:t>
            </w:r>
          </w:p>
        </w:tc>
      </w:tr>
      <w:tr w14:paraId="4CEB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94" w:type="dxa"/>
            <w:noWrap w:val="0"/>
            <w:vAlign w:val="center"/>
          </w:tcPr>
          <w:p w14:paraId="48EB71B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w:t>
            </w:r>
          </w:p>
        </w:tc>
        <w:tc>
          <w:tcPr>
            <w:tcW w:w="1298" w:type="dxa"/>
            <w:noWrap w:val="0"/>
            <w:vAlign w:val="center"/>
          </w:tcPr>
          <w:p w14:paraId="23B1DCAB">
            <w:pPr>
              <w:jc w:val="center"/>
              <w:rPr>
                <w:rFonts w:hint="eastAsia" w:ascii="仿宋" w:hAnsi="仿宋" w:eastAsia="仿宋" w:cs="仿宋"/>
                <w:color w:val="000000"/>
                <w:sz w:val="21"/>
                <w:szCs w:val="21"/>
                <w:vertAlign w:val="baseline"/>
                <w:lang w:eastAsia="zh-CN"/>
              </w:rPr>
            </w:pPr>
            <w:r>
              <w:rPr>
                <w:rFonts w:hint="eastAsia" w:ascii="仿宋" w:hAnsi="仿宋" w:eastAsia="仿宋" w:cs="仿宋"/>
                <w:color w:val="000000"/>
                <w:sz w:val="21"/>
                <w:szCs w:val="21"/>
                <w:vertAlign w:val="baseline"/>
                <w:lang w:eastAsia="zh-CN"/>
              </w:rPr>
              <w:t>业绩</w:t>
            </w:r>
          </w:p>
        </w:tc>
        <w:tc>
          <w:tcPr>
            <w:tcW w:w="5707" w:type="dxa"/>
            <w:noWrap w:val="0"/>
            <w:vAlign w:val="center"/>
          </w:tcPr>
          <w:p w14:paraId="7AE07246">
            <w:pPr>
              <w:keepNext w:val="0"/>
              <w:keepLines w:val="0"/>
              <w:widowControl/>
              <w:adjustRightInd/>
              <w:spacing w:line="300" w:lineRule="exact"/>
              <w:jc w:val="left"/>
              <w:rPr>
                <w:rFonts w:hint="eastAsia"/>
                <w:lang w:val="en-US" w:eastAsia="zh-CN"/>
              </w:rPr>
            </w:pPr>
            <w:r>
              <w:rPr>
                <w:rFonts w:hint="eastAsia" w:ascii="仿宋" w:hAnsi="仿宋" w:eastAsia="仿宋" w:cs="仿宋"/>
                <w:color w:val="000000"/>
                <w:kern w:val="2"/>
                <w:sz w:val="21"/>
                <w:szCs w:val="21"/>
              </w:rPr>
              <w:t>投标人自202</w:t>
            </w:r>
            <w:r>
              <w:rPr>
                <w:rFonts w:hint="eastAsia" w:ascii="仿宋" w:hAnsi="仿宋" w:eastAsia="仿宋" w:cs="仿宋"/>
                <w:color w:val="000000"/>
                <w:kern w:val="2"/>
                <w:sz w:val="21"/>
                <w:szCs w:val="21"/>
                <w:lang w:val="en-US" w:eastAsia="zh-CN"/>
              </w:rPr>
              <w:t>2</w:t>
            </w:r>
            <w:r>
              <w:rPr>
                <w:rFonts w:hint="eastAsia" w:ascii="仿宋" w:hAnsi="仿宋" w:eastAsia="仿宋" w:cs="仿宋"/>
                <w:color w:val="000000"/>
                <w:kern w:val="2"/>
                <w:sz w:val="21"/>
                <w:szCs w:val="21"/>
              </w:rPr>
              <w:t>年</w:t>
            </w:r>
            <w:r>
              <w:rPr>
                <w:rFonts w:hint="eastAsia" w:ascii="仿宋" w:hAnsi="仿宋" w:eastAsia="仿宋" w:cs="仿宋"/>
                <w:color w:val="000000"/>
                <w:kern w:val="2"/>
                <w:sz w:val="21"/>
                <w:szCs w:val="21"/>
                <w:lang w:val="en-US" w:eastAsia="zh-CN"/>
              </w:rPr>
              <w:t>7</w:t>
            </w:r>
            <w:r>
              <w:rPr>
                <w:rFonts w:hint="eastAsia" w:ascii="仿宋" w:hAnsi="仿宋" w:eastAsia="仿宋" w:cs="仿宋"/>
                <w:color w:val="000000"/>
                <w:kern w:val="2"/>
                <w:sz w:val="21"/>
                <w:szCs w:val="21"/>
              </w:rPr>
              <w:t>月1日以来（以合同签订时间为准）完成</w:t>
            </w:r>
            <w:r>
              <w:rPr>
                <w:rFonts w:hint="eastAsia" w:ascii="仿宋" w:hAnsi="仿宋" w:eastAsia="仿宋" w:cs="仿宋"/>
                <w:color w:val="000000"/>
                <w:kern w:val="2"/>
                <w:sz w:val="21"/>
                <w:szCs w:val="21"/>
                <w:lang w:val="en-US" w:eastAsia="zh-CN"/>
              </w:rPr>
              <w:t>过</w:t>
            </w:r>
            <w:r>
              <w:rPr>
                <w:rFonts w:hint="eastAsia" w:ascii="仿宋" w:hAnsi="仿宋" w:eastAsia="仿宋" w:cs="仿宋"/>
                <w:color w:val="000000"/>
                <w:kern w:val="2"/>
                <w:sz w:val="21"/>
                <w:szCs w:val="21"/>
              </w:rPr>
              <w:t>同类案例，每有一个得1分，最高得</w:t>
            </w:r>
            <w:r>
              <w:rPr>
                <w:rFonts w:hint="eastAsia" w:ascii="仿宋" w:hAnsi="仿宋" w:eastAsia="仿宋" w:cs="仿宋"/>
                <w:color w:val="000000"/>
                <w:kern w:val="2"/>
                <w:sz w:val="21"/>
                <w:szCs w:val="21"/>
                <w:lang w:val="en-US" w:eastAsia="zh-CN"/>
              </w:rPr>
              <w:t>4</w:t>
            </w:r>
            <w:r>
              <w:rPr>
                <w:rFonts w:hint="eastAsia" w:ascii="仿宋" w:hAnsi="仿宋" w:eastAsia="仿宋" w:cs="仿宋"/>
                <w:color w:val="000000"/>
                <w:kern w:val="2"/>
                <w:sz w:val="21"/>
                <w:szCs w:val="21"/>
              </w:rPr>
              <w:t>分。</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lang w:val="en-US" w:eastAsia="zh-CN"/>
              </w:rPr>
              <w:t>同一单位计1分，</w:t>
            </w:r>
            <w:r>
              <w:rPr>
                <w:rFonts w:hint="eastAsia" w:ascii="仿宋" w:hAnsi="仿宋" w:eastAsia="仿宋" w:cs="仿宋"/>
                <w:color w:val="000000"/>
                <w:kern w:val="2"/>
                <w:sz w:val="21"/>
                <w:szCs w:val="21"/>
              </w:rPr>
              <w:t>每个案例提供合同的复印件，并加盖投标人公章</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rPr>
              <w:t>。</w:t>
            </w:r>
          </w:p>
        </w:tc>
        <w:tc>
          <w:tcPr>
            <w:tcW w:w="820" w:type="dxa"/>
            <w:noWrap w:val="0"/>
            <w:vAlign w:val="center"/>
          </w:tcPr>
          <w:p w14:paraId="1D06CF6D">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4</w:t>
            </w:r>
          </w:p>
        </w:tc>
      </w:tr>
      <w:tr w14:paraId="3EE0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94" w:type="dxa"/>
            <w:noWrap w:val="0"/>
            <w:vAlign w:val="center"/>
          </w:tcPr>
          <w:p w14:paraId="25520B4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2</w:t>
            </w:r>
          </w:p>
        </w:tc>
        <w:tc>
          <w:tcPr>
            <w:tcW w:w="1298" w:type="dxa"/>
            <w:noWrap w:val="0"/>
            <w:vAlign w:val="center"/>
          </w:tcPr>
          <w:p w14:paraId="4659956F">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投标人认证情况</w:t>
            </w:r>
          </w:p>
        </w:tc>
        <w:tc>
          <w:tcPr>
            <w:tcW w:w="5707" w:type="dxa"/>
            <w:noWrap w:val="0"/>
            <w:vAlign w:val="center"/>
          </w:tcPr>
          <w:p w14:paraId="0DAEBC5A">
            <w:pPr>
              <w:spacing w:line="240" w:lineRule="auto"/>
              <w:rPr>
                <w:rFonts w:hint="eastAsia" w:ascii="仿宋" w:hAnsi="仿宋" w:eastAsia="仿宋" w:cs="仿宋"/>
                <w:bCs/>
                <w:color w:val="000000" w:themeColor="text1"/>
                <w:kern w:val="2"/>
                <w:sz w:val="21"/>
                <w:szCs w:val="21"/>
                <w:highlight w:val="none"/>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color w:val="000000" w:themeColor="text1"/>
                <w:sz w:val="21"/>
                <w:szCs w:val="21"/>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投标人</w:t>
            </w:r>
            <w:r>
              <w:rPr>
                <w:rFonts w:hint="eastAsia" w:ascii="仿宋" w:hAnsi="仿宋" w:eastAsia="仿宋" w:cs="仿宋"/>
                <w:bCs/>
                <w:color w:val="000000" w:themeColor="text1"/>
                <w:kern w:val="2"/>
                <w:sz w:val="21"/>
                <w:szCs w:val="21"/>
                <w:highlight w:val="none"/>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具有在有效期内、能力范围覆盖消防设施维护保养检测的质量管理体系认证，提供证书得2分。</w:t>
            </w:r>
          </w:p>
          <w:p w14:paraId="4C15BE89">
            <w:pPr>
              <w:spacing w:line="240" w:lineRule="auto"/>
              <w:rPr>
                <w:rFonts w:hint="eastAsia" w:ascii="仿宋" w:hAnsi="仿宋" w:eastAsia="仿宋" w:cs="仿宋"/>
                <w:color w:val="000000"/>
                <w:kern w:val="2"/>
                <w:sz w:val="21"/>
                <w:szCs w:val="21"/>
              </w:rPr>
            </w:pPr>
            <w:r>
              <w:rPr>
                <w:rFonts w:hint="eastAsia" w:ascii="仿宋" w:hAnsi="仿宋" w:eastAsia="仿宋" w:cs="仿宋"/>
                <w:bCs/>
                <w:color w:val="000000" w:themeColor="text1"/>
                <w:kern w:val="2"/>
                <w:sz w:val="21"/>
                <w:szCs w:val="21"/>
                <w:highlight w:val="none"/>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（提供证书复印件及国家认证认可监督管理委员会 “www.cnca.gov.cn”网址查询结果为“有效”的截图，未提供或证明材料不全的不得分）</w:t>
            </w:r>
          </w:p>
        </w:tc>
        <w:tc>
          <w:tcPr>
            <w:tcW w:w="820" w:type="dxa"/>
            <w:noWrap w:val="0"/>
            <w:vAlign w:val="center"/>
          </w:tcPr>
          <w:p w14:paraId="7DE82FC1">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2</w:t>
            </w:r>
          </w:p>
        </w:tc>
      </w:tr>
      <w:tr w14:paraId="06D1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795ADB36">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3</w:t>
            </w:r>
          </w:p>
        </w:tc>
        <w:tc>
          <w:tcPr>
            <w:tcW w:w="1298" w:type="dxa"/>
            <w:noWrap w:val="0"/>
            <w:vAlign w:val="center"/>
          </w:tcPr>
          <w:p w14:paraId="0F4F3804">
            <w:pPr>
              <w:jc w:val="center"/>
              <w:rPr>
                <w:rFonts w:hint="eastAsia" w:ascii="仿宋" w:hAnsi="仿宋" w:eastAsia="仿宋" w:cs="仿宋"/>
                <w:color w:val="000000"/>
                <w:sz w:val="21"/>
                <w:szCs w:val="21"/>
                <w:vertAlign w:val="baseline"/>
                <w:lang w:eastAsia="zh-CN"/>
              </w:rPr>
            </w:pPr>
            <w:r>
              <w:rPr>
                <w:rFonts w:hint="eastAsia" w:ascii="仿宋" w:hAnsi="仿宋" w:eastAsia="仿宋" w:cs="仿宋"/>
                <w:i w:val="0"/>
                <w:iCs w:val="0"/>
                <w:color w:val="000000"/>
                <w:kern w:val="0"/>
                <w:sz w:val="21"/>
                <w:szCs w:val="21"/>
                <w:highlight w:val="none"/>
                <w:u w:val="none"/>
                <w:lang w:val="en-US" w:eastAsia="zh-CN" w:bidi="ar"/>
              </w:rPr>
              <w:t>人员配置情况</w:t>
            </w:r>
          </w:p>
        </w:tc>
        <w:tc>
          <w:tcPr>
            <w:tcW w:w="5707" w:type="dxa"/>
            <w:noWrap w:val="0"/>
            <w:vAlign w:val="center"/>
          </w:tcPr>
          <w:p w14:paraId="64CB5A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根据投标人针对本项目配置人员情况，包括但不限于与本项目具有关联性的职业资格证书（注册消防工程师、消防设施操作员等）等为参考进行综合评价。（本项分值设置为5,4,3,2,1,0.5,0分)</w:t>
            </w:r>
            <w:r>
              <w:rPr>
                <w:rFonts w:hint="eastAsia" w:ascii="仿宋" w:hAnsi="仿宋" w:eastAsia="仿宋" w:cs="仿宋_GB2312"/>
                <w:color w:val="auto"/>
                <w:sz w:val="21"/>
                <w:szCs w:val="21"/>
                <w:highlight w:val="none"/>
              </w:rPr>
              <w:t>（提供相关证书</w:t>
            </w:r>
            <w:r>
              <w:rPr>
                <w:rFonts w:hint="eastAsia" w:ascii="仿宋" w:hAnsi="仿宋" w:eastAsia="仿宋" w:cs="仿宋_GB2312"/>
                <w:color w:val="auto"/>
                <w:sz w:val="21"/>
                <w:szCs w:val="21"/>
                <w:highlight w:val="none"/>
                <w:lang w:eastAsia="zh-CN"/>
              </w:rPr>
              <w:t>及投标人为其缴纳的社保证明</w:t>
            </w:r>
            <w:r>
              <w:rPr>
                <w:rFonts w:hint="eastAsia" w:ascii="仿宋" w:hAnsi="仿宋" w:eastAsia="仿宋" w:cs="仿宋_GB2312"/>
                <w:color w:val="auto"/>
                <w:sz w:val="21"/>
                <w:szCs w:val="21"/>
                <w:highlight w:val="none"/>
              </w:rPr>
              <w:t>复印件并加盖投标人公章，否则不得分）</w:t>
            </w:r>
          </w:p>
        </w:tc>
        <w:tc>
          <w:tcPr>
            <w:tcW w:w="820" w:type="dxa"/>
            <w:noWrap w:val="0"/>
            <w:vAlign w:val="center"/>
          </w:tcPr>
          <w:p w14:paraId="137067F3">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5</w:t>
            </w:r>
          </w:p>
        </w:tc>
      </w:tr>
      <w:tr w14:paraId="52E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1BA65925">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4</w:t>
            </w:r>
          </w:p>
        </w:tc>
        <w:tc>
          <w:tcPr>
            <w:tcW w:w="1298" w:type="dxa"/>
            <w:noWrap w:val="0"/>
            <w:vAlign w:val="center"/>
          </w:tcPr>
          <w:p w14:paraId="41162ABD">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专业仪器设备配置</w:t>
            </w:r>
          </w:p>
        </w:tc>
        <w:tc>
          <w:tcPr>
            <w:tcW w:w="5707" w:type="dxa"/>
            <w:noWrap w:val="0"/>
            <w:vAlign w:val="center"/>
          </w:tcPr>
          <w:p w14:paraId="7F775D4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w:t>
            </w:r>
            <w:r>
              <w:rPr>
                <w:rFonts w:hint="eastAsia" w:ascii="仿宋" w:hAnsi="仿宋" w:eastAsia="仿宋" w:cs="仿宋"/>
                <w:i w:val="0"/>
                <w:iCs w:val="0"/>
                <w:color w:val="auto"/>
                <w:kern w:val="0"/>
                <w:sz w:val="21"/>
                <w:szCs w:val="21"/>
                <w:highlight w:val="none"/>
                <w:u w:val="none"/>
                <w:lang w:val="en-US" w:eastAsia="zh-CN" w:bidi="ar"/>
              </w:rPr>
              <w:t>目专业仪器设备(包括但不限于烟感、温感探测器、数字照度器、水压试验装置、手持泵速检测仪等配置情况（包括图片、购置凭证、应用场景说明等）进行综合评价。</w:t>
            </w:r>
            <w:r>
              <w:rPr>
                <w:rFonts w:hint="eastAsia" w:ascii="仿宋" w:hAnsi="仿宋" w:eastAsia="仿宋" w:cs="仿宋"/>
                <w:i w:val="0"/>
                <w:iCs w:val="0"/>
                <w:color w:val="000000"/>
                <w:kern w:val="0"/>
                <w:sz w:val="21"/>
                <w:szCs w:val="21"/>
                <w:highlight w:val="none"/>
                <w:u w:val="none"/>
                <w:lang w:val="en-US" w:eastAsia="zh-CN" w:bidi="ar"/>
              </w:rPr>
              <w:t>（本项分值设置为5,4,3,2,1,0.5,0分)</w:t>
            </w:r>
          </w:p>
        </w:tc>
        <w:tc>
          <w:tcPr>
            <w:tcW w:w="820" w:type="dxa"/>
            <w:noWrap w:val="0"/>
            <w:vAlign w:val="center"/>
          </w:tcPr>
          <w:p w14:paraId="205F3D4C">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5</w:t>
            </w:r>
          </w:p>
        </w:tc>
      </w:tr>
      <w:tr w14:paraId="184E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19FA3FED">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5</w:t>
            </w:r>
          </w:p>
        </w:tc>
        <w:tc>
          <w:tcPr>
            <w:tcW w:w="1298" w:type="dxa"/>
            <w:noWrap w:val="0"/>
            <w:vAlign w:val="center"/>
          </w:tcPr>
          <w:p w14:paraId="4DC3F2D6">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维保方案</w:t>
            </w:r>
          </w:p>
        </w:tc>
        <w:tc>
          <w:tcPr>
            <w:tcW w:w="5707" w:type="dxa"/>
            <w:noWrap w:val="0"/>
            <w:vAlign w:val="center"/>
          </w:tcPr>
          <w:p w14:paraId="3EF0140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的维保方案（包括但不限于对服务内容的熟悉情况、重点难点的分析情况、质量安全保证措施、具体服务方案等）的可行性、可靠性、先进性、详细程度、满足招标文件要求情况、对于用户方实施环境的熟悉程度等进行综合评价。（本项分值设置为6，5,4,3,2,1,0.5,0分)</w:t>
            </w:r>
          </w:p>
        </w:tc>
        <w:tc>
          <w:tcPr>
            <w:tcW w:w="820" w:type="dxa"/>
            <w:noWrap w:val="0"/>
            <w:vAlign w:val="center"/>
          </w:tcPr>
          <w:p w14:paraId="0161DC59">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r w14:paraId="020C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594" w:type="dxa"/>
            <w:noWrap w:val="0"/>
            <w:vAlign w:val="center"/>
          </w:tcPr>
          <w:p w14:paraId="187EF91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6</w:t>
            </w:r>
          </w:p>
        </w:tc>
        <w:tc>
          <w:tcPr>
            <w:tcW w:w="1298" w:type="dxa"/>
            <w:noWrap w:val="0"/>
            <w:vAlign w:val="center"/>
          </w:tcPr>
          <w:p w14:paraId="76339EE6">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服务响应情况</w:t>
            </w:r>
          </w:p>
        </w:tc>
        <w:tc>
          <w:tcPr>
            <w:tcW w:w="5707" w:type="dxa"/>
            <w:noWrap w:val="0"/>
            <w:vAlign w:val="center"/>
          </w:tcPr>
          <w:p w14:paraId="54B86F5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的服务响应情况（包括但不限于售后服务机构或承诺中标后设立售后服务机构情况、本地化服务情况、响应时效性承诺、故障修复时限承诺、具体响应方案等）进行综合评价。（本项分值设置为5,4,3,2,1,0.5,0分)</w:t>
            </w:r>
          </w:p>
        </w:tc>
        <w:tc>
          <w:tcPr>
            <w:tcW w:w="820" w:type="dxa"/>
            <w:noWrap w:val="0"/>
            <w:vAlign w:val="center"/>
          </w:tcPr>
          <w:p w14:paraId="1B1078FF">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5</w:t>
            </w:r>
          </w:p>
        </w:tc>
      </w:tr>
      <w:tr w14:paraId="5715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94" w:type="dxa"/>
            <w:noWrap w:val="0"/>
            <w:vAlign w:val="center"/>
          </w:tcPr>
          <w:p w14:paraId="4BF6B1DD">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7</w:t>
            </w:r>
          </w:p>
        </w:tc>
        <w:tc>
          <w:tcPr>
            <w:tcW w:w="1298" w:type="dxa"/>
            <w:noWrap w:val="0"/>
            <w:vAlign w:val="center"/>
          </w:tcPr>
          <w:p w14:paraId="551A2352">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应急预案</w:t>
            </w:r>
          </w:p>
        </w:tc>
        <w:tc>
          <w:tcPr>
            <w:tcW w:w="5707" w:type="dxa"/>
            <w:noWrap w:val="0"/>
            <w:vAlign w:val="center"/>
          </w:tcPr>
          <w:p w14:paraId="036BF0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根据供应商针对本项目提供的应急预案（包括但不限于初起火灾、自动报警系统失灵、联动系统误动等情况）进行综合评价。（本项分值设置为6，5,4,3,2,1,0.5,0分)</w:t>
            </w:r>
          </w:p>
        </w:tc>
        <w:tc>
          <w:tcPr>
            <w:tcW w:w="820" w:type="dxa"/>
            <w:noWrap w:val="0"/>
            <w:vAlign w:val="center"/>
          </w:tcPr>
          <w:p w14:paraId="746E4D7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r w14:paraId="0C4D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94" w:type="dxa"/>
            <w:noWrap w:val="0"/>
            <w:vAlign w:val="center"/>
          </w:tcPr>
          <w:p w14:paraId="3CE3E8A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8</w:t>
            </w:r>
          </w:p>
        </w:tc>
        <w:tc>
          <w:tcPr>
            <w:tcW w:w="1298" w:type="dxa"/>
            <w:noWrap w:val="0"/>
            <w:vAlign w:val="center"/>
          </w:tcPr>
          <w:p w14:paraId="61AA9CD9">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技术保障</w:t>
            </w:r>
          </w:p>
        </w:tc>
        <w:tc>
          <w:tcPr>
            <w:tcW w:w="5707" w:type="dxa"/>
            <w:noWrap w:val="0"/>
            <w:vAlign w:val="center"/>
          </w:tcPr>
          <w:p w14:paraId="5924E7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lang w:eastAsia="zh-CN"/>
              </w:rPr>
              <w:t>根据投标人提供针对本项目</w:t>
            </w:r>
            <w:r>
              <w:rPr>
                <w:rFonts w:hint="eastAsia" w:ascii="仿宋" w:hAnsi="仿宋" w:eastAsia="仿宋" w:cs="仿宋"/>
                <w:color w:val="000000"/>
                <w:kern w:val="2"/>
                <w:sz w:val="21"/>
                <w:szCs w:val="21"/>
              </w:rPr>
              <w:t>各品牌</w:t>
            </w:r>
            <w:r>
              <w:rPr>
                <w:rFonts w:hint="eastAsia" w:ascii="仿宋" w:hAnsi="仿宋" w:eastAsia="仿宋" w:cs="仿宋"/>
                <w:color w:val="000000"/>
                <w:kern w:val="2"/>
                <w:sz w:val="21"/>
                <w:szCs w:val="21"/>
                <w:lang w:eastAsia="zh-CN"/>
              </w:rPr>
              <w:t>消防设施设备</w:t>
            </w:r>
            <w:r>
              <w:rPr>
                <w:rFonts w:hint="eastAsia" w:ascii="仿宋" w:hAnsi="仿宋" w:eastAsia="仿宋" w:cs="仿宋"/>
                <w:color w:val="000000"/>
                <w:kern w:val="2"/>
                <w:sz w:val="21"/>
                <w:szCs w:val="21"/>
                <w:lang w:val="en-US" w:eastAsia="zh-CN"/>
              </w:rPr>
              <w:t>厂家</w:t>
            </w:r>
            <w:r>
              <w:rPr>
                <w:rFonts w:hint="eastAsia" w:ascii="仿宋" w:hAnsi="仿宋" w:eastAsia="仿宋" w:cs="仿宋"/>
                <w:color w:val="000000"/>
                <w:kern w:val="2"/>
                <w:sz w:val="21"/>
                <w:szCs w:val="21"/>
              </w:rPr>
              <w:t>书面承诺提供技术保障的情况综合打分</w:t>
            </w:r>
            <w:r>
              <w:rPr>
                <w:rFonts w:hint="eastAsia" w:ascii="仿宋" w:hAnsi="仿宋" w:eastAsia="仿宋" w:cs="仿宋"/>
                <w:color w:val="000000"/>
                <w:kern w:val="2"/>
                <w:sz w:val="21"/>
                <w:szCs w:val="21"/>
                <w:lang w:val="en-US" w:eastAsia="zh-CN"/>
              </w:rPr>
              <w:t>。</w:t>
            </w:r>
          </w:p>
          <w:p w14:paraId="729348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（本项分值设置为5,4,3,2,1,0.5,0分)</w:t>
            </w:r>
          </w:p>
        </w:tc>
        <w:tc>
          <w:tcPr>
            <w:tcW w:w="820" w:type="dxa"/>
            <w:noWrap w:val="0"/>
            <w:vAlign w:val="center"/>
          </w:tcPr>
          <w:p w14:paraId="7FDF80FA">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5</w:t>
            </w:r>
          </w:p>
        </w:tc>
      </w:tr>
      <w:tr w14:paraId="1486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94" w:type="dxa"/>
            <w:noWrap w:val="0"/>
            <w:vAlign w:val="center"/>
          </w:tcPr>
          <w:p w14:paraId="66FC7935">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9</w:t>
            </w:r>
          </w:p>
        </w:tc>
        <w:tc>
          <w:tcPr>
            <w:tcW w:w="1298" w:type="dxa"/>
            <w:noWrap w:val="0"/>
            <w:vAlign w:val="center"/>
          </w:tcPr>
          <w:p w14:paraId="50DF32FE">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合理化建议</w:t>
            </w:r>
          </w:p>
        </w:tc>
        <w:tc>
          <w:tcPr>
            <w:tcW w:w="5707" w:type="dxa"/>
            <w:noWrap w:val="0"/>
            <w:vAlign w:val="center"/>
          </w:tcPr>
          <w:p w14:paraId="7AD6531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根据投标人针对本项目合理化建议的合理性、完善性、科学性、可行性等进行综合评价。</w:t>
            </w:r>
          </w:p>
          <w:p w14:paraId="406C764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000000"/>
                <w:kern w:val="2"/>
                <w:sz w:val="21"/>
                <w:szCs w:val="21"/>
                <w:lang w:val="en-US" w:eastAsia="zh-CN"/>
              </w:rPr>
            </w:pPr>
            <w:r>
              <w:rPr>
                <w:rFonts w:hint="eastAsia" w:ascii="仿宋" w:hAnsi="仿宋" w:eastAsia="仿宋" w:cs="仿宋"/>
                <w:i w:val="0"/>
                <w:iCs w:val="0"/>
                <w:color w:val="000000"/>
                <w:kern w:val="0"/>
                <w:sz w:val="21"/>
                <w:szCs w:val="21"/>
                <w:highlight w:val="none"/>
                <w:u w:val="none"/>
                <w:lang w:val="en-US" w:eastAsia="zh-CN" w:bidi="ar"/>
              </w:rPr>
              <w:t>（本项分值设置为5，4,3,2,1,0.5,0分)</w:t>
            </w:r>
          </w:p>
        </w:tc>
        <w:tc>
          <w:tcPr>
            <w:tcW w:w="820" w:type="dxa"/>
            <w:noWrap w:val="0"/>
            <w:vAlign w:val="center"/>
          </w:tcPr>
          <w:p w14:paraId="45090AE1">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5</w:t>
            </w:r>
          </w:p>
        </w:tc>
      </w:tr>
      <w:tr w14:paraId="41FA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94" w:type="dxa"/>
            <w:noWrap w:val="0"/>
            <w:vAlign w:val="center"/>
          </w:tcPr>
          <w:p w14:paraId="43216EB5">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10</w:t>
            </w:r>
          </w:p>
        </w:tc>
        <w:tc>
          <w:tcPr>
            <w:tcW w:w="1298" w:type="dxa"/>
            <w:noWrap w:val="0"/>
            <w:vAlign w:val="center"/>
          </w:tcPr>
          <w:p w14:paraId="6E2786D8">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优惠措施</w:t>
            </w:r>
          </w:p>
        </w:tc>
        <w:tc>
          <w:tcPr>
            <w:tcW w:w="5707" w:type="dxa"/>
            <w:noWrap w:val="0"/>
            <w:vAlign w:val="center"/>
          </w:tcPr>
          <w:p w14:paraId="340A52E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根据投标人针对本项目有实质性（非价格因素）优惠措施的，按照优惠措施的力度、可行性等进行综合评价。</w:t>
            </w:r>
          </w:p>
          <w:p w14:paraId="0173566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（本项分值设置为5,4,3,2,1,0.5,0分)</w:t>
            </w:r>
          </w:p>
        </w:tc>
        <w:tc>
          <w:tcPr>
            <w:tcW w:w="820" w:type="dxa"/>
            <w:noWrap w:val="0"/>
            <w:vAlign w:val="center"/>
          </w:tcPr>
          <w:p w14:paraId="4971E988">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5</w:t>
            </w:r>
          </w:p>
        </w:tc>
      </w:tr>
      <w:tr w14:paraId="386D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594" w:type="dxa"/>
            <w:noWrap w:val="0"/>
            <w:vAlign w:val="center"/>
          </w:tcPr>
          <w:p w14:paraId="76535148">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11</w:t>
            </w:r>
          </w:p>
        </w:tc>
        <w:tc>
          <w:tcPr>
            <w:tcW w:w="1298" w:type="dxa"/>
            <w:noWrap w:val="0"/>
            <w:vAlign w:val="center"/>
          </w:tcPr>
          <w:p w14:paraId="2991FCA9">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安全管理方案</w:t>
            </w:r>
          </w:p>
        </w:tc>
        <w:tc>
          <w:tcPr>
            <w:tcW w:w="5707" w:type="dxa"/>
            <w:noWrap w:val="0"/>
            <w:vAlign w:val="center"/>
          </w:tcPr>
          <w:p w14:paraId="3E43E060">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根据投标人提供的安全管理方案进行打分，包括但不限于针对</w:t>
            </w:r>
            <w:r>
              <w:rPr>
                <w:rFonts w:hint="eastAsia" w:ascii="仿宋" w:hAnsi="仿宋" w:eastAsia="仿宋" w:cs="仿宋"/>
                <w:color w:val="auto"/>
                <w:sz w:val="21"/>
                <w:szCs w:val="21"/>
                <w:highlight w:val="none"/>
                <w:lang w:val="en-US" w:eastAsia="zh-CN"/>
              </w:rPr>
              <w:t>采购人</w:t>
            </w:r>
            <w:r>
              <w:rPr>
                <w:rFonts w:hint="eastAsia" w:ascii="仿宋" w:hAnsi="仿宋" w:eastAsia="仿宋" w:cs="仿宋"/>
                <w:color w:val="auto"/>
                <w:sz w:val="21"/>
                <w:szCs w:val="21"/>
                <w:highlight w:val="none"/>
              </w:rPr>
              <w:t>实际情况，制定处置流程、应急响应时间、应急支援队伍的保障计划等方面。</w:t>
            </w:r>
          </w:p>
          <w:p w14:paraId="5DD42443">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（本项分值设置为6，5,4,3,2,1,0.5,0分)</w:t>
            </w:r>
          </w:p>
        </w:tc>
        <w:tc>
          <w:tcPr>
            <w:tcW w:w="820" w:type="dxa"/>
            <w:noWrap w:val="0"/>
            <w:vAlign w:val="center"/>
          </w:tcPr>
          <w:p w14:paraId="05B1AAE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r w14:paraId="7137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94" w:type="dxa"/>
            <w:noWrap w:val="0"/>
            <w:vAlign w:val="center"/>
          </w:tcPr>
          <w:p w14:paraId="4ACDECA2">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12</w:t>
            </w:r>
          </w:p>
        </w:tc>
        <w:tc>
          <w:tcPr>
            <w:tcW w:w="1298" w:type="dxa"/>
            <w:noWrap w:val="0"/>
            <w:vAlign w:val="center"/>
          </w:tcPr>
          <w:p w14:paraId="7ACF3B4A">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考核管理方案</w:t>
            </w:r>
          </w:p>
        </w:tc>
        <w:tc>
          <w:tcPr>
            <w:tcW w:w="5707" w:type="dxa"/>
            <w:noWrap w:val="0"/>
            <w:vAlign w:val="center"/>
          </w:tcPr>
          <w:p w14:paraId="1A6DF6C8">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根据投标人提供的考核管理方案进行打分，包括但不限于人员</w:t>
            </w:r>
            <w:r>
              <w:rPr>
                <w:rFonts w:hint="eastAsia" w:ascii="仿宋" w:hAnsi="仿宋" w:eastAsia="仿宋" w:cs="仿宋"/>
                <w:color w:val="auto"/>
                <w:sz w:val="21"/>
                <w:szCs w:val="21"/>
                <w:highlight w:val="none"/>
                <w:lang w:eastAsia="zh-CN"/>
              </w:rPr>
              <w:t>维保</w:t>
            </w:r>
            <w:r>
              <w:rPr>
                <w:rFonts w:hint="eastAsia" w:ascii="仿宋" w:hAnsi="仿宋" w:eastAsia="仿宋" w:cs="仿宋"/>
                <w:color w:val="auto"/>
                <w:sz w:val="21"/>
                <w:szCs w:val="21"/>
                <w:highlight w:val="none"/>
              </w:rPr>
              <w:t>与考核的标准、奖惩机制的标准等方面。</w:t>
            </w:r>
          </w:p>
          <w:p w14:paraId="3A90F47E">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（本项分值设置为6，5,4,3,2,1,0.5,0分)</w:t>
            </w:r>
          </w:p>
        </w:tc>
        <w:tc>
          <w:tcPr>
            <w:tcW w:w="820" w:type="dxa"/>
            <w:noWrap w:val="0"/>
            <w:vAlign w:val="center"/>
          </w:tcPr>
          <w:p w14:paraId="0AD0C5DB">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bl>
    <w:p w14:paraId="3EA5B5A2">
      <w:pPr>
        <w:keepNext w:val="0"/>
        <w:keepLines w:val="0"/>
        <w:pageBreakBefore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注：1、本项目招标文件对开标现场原件核验不作要求，</w:t>
      </w:r>
      <w:r>
        <w:rPr>
          <w:rFonts w:hint="eastAsia" w:ascii="仿宋" w:hAnsi="仿宋" w:eastAsia="仿宋" w:cs="仿宋"/>
          <w:b/>
          <w:bCs/>
          <w:sz w:val="24"/>
          <w:szCs w:val="24"/>
          <w:lang w:val="en-US" w:eastAsia="zh-CN"/>
        </w:rPr>
        <w:t>采购</w:t>
      </w:r>
      <w:r>
        <w:rPr>
          <w:rFonts w:hint="eastAsia" w:ascii="仿宋" w:hAnsi="仿宋" w:eastAsia="仿宋" w:cs="仿宋"/>
          <w:b/>
          <w:bCs/>
          <w:sz w:val="24"/>
          <w:szCs w:val="24"/>
        </w:rPr>
        <w:t>人有权在</w:t>
      </w:r>
      <w:r>
        <w:rPr>
          <w:rFonts w:hint="eastAsia" w:ascii="仿宋" w:hAnsi="仿宋" w:eastAsia="仿宋" w:cs="仿宋"/>
          <w:b/>
          <w:bCs/>
          <w:sz w:val="24"/>
          <w:szCs w:val="24"/>
          <w:lang w:val="en-US" w:eastAsia="zh-CN"/>
        </w:rPr>
        <w:t>中标后</w:t>
      </w:r>
      <w:r>
        <w:rPr>
          <w:rFonts w:hint="eastAsia" w:ascii="仿宋" w:hAnsi="仿宋" w:eastAsia="仿宋" w:cs="仿宋"/>
          <w:b/>
          <w:bCs/>
          <w:sz w:val="24"/>
          <w:szCs w:val="24"/>
        </w:rPr>
        <w:t>对中标候选人进行原件核验，投标人对所提供的全部资料的真实性承担法律责任。</w:t>
      </w:r>
    </w:p>
    <w:p w14:paraId="710B310F">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所有的证书必须在有效期内，不在有效期内的不得分。</w:t>
      </w:r>
    </w:p>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1B1CC33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2.2.1日常维保部分</w:t>
      </w:r>
    </w:p>
    <w:p w14:paraId="0DA5295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日常维保部分报价按3年维保费用的总价报价，上限不超过15万元整，否则作无效投标处理。</w:t>
      </w:r>
    </w:p>
    <w:p w14:paraId="6163C6A5">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2.2.1.1评标基准价：即满足招标文件要求且投标价格最低的投标报价为评标基准价，其价格分为满分。</w:t>
      </w:r>
    </w:p>
    <w:p w14:paraId="524A3E9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7048B7A9">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投标报价得分=(评标基准价／投标报价)×价格权值×100</w:t>
      </w:r>
    </w:p>
    <w:p w14:paraId="74F9F4BB">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即：投标报价得分=(评标基准价／投标报价)×20</w:t>
      </w:r>
    </w:p>
    <w:p w14:paraId="4B8A770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2.2.2维修材料部分</w:t>
      </w:r>
    </w:p>
    <w:p w14:paraId="38D82F5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维修材料部分报价按下浮率报价。</w:t>
      </w:r>
    </w:p>
    <w:p w14:paraId="4EF756FF">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2.2.1.1评标基准价：即满足招标文件要求且下浮率报价最高即投标价格最低的投标报价为评标基准价，其价格分为满分。</w:t>
      </w:r>
    </w:p>
    <w:p w14:paraId="094F3FE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18B77F4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投标报价得分=（1-评标基准价）／（1-投标报价）×价格权值×100</w:t>
      </w:r>
    </w:p>
    <w:p w14:paraId="65EFDD20">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即：投标报价得分=（1-评标基准价）／（1-投标报价）×20</w:t>
      </w:r>
    </w:p>
    <w:p w14:paraId="722C273D">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_GB2312" w:hAnsi="仿宋_GB2312" w:eastAsia="仿宋_GB2312" w:cs="仿宋_GB2312"/>
          <w:sz w:val="24"/>
          <w:szCs w:val="24"/>
          <w:lang w:val="en-US" w:eastAsia="zh-CN"/>
        </w:rPr>
        <w:t>最终价格分=日常维保部分价格得分+维修材料部分价格得分</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-日常维保部分</w:t>
      </w:r>
    </w:p>
    <w:tbl>
      <w:tblPr>
        <w:tblStyle w:val="62"/>
        <w:tblW w:w="482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3"/>
        <w:gridCol w:w="1445"/>
        <w:gridCol w:w="1510"/>
        <w:gridCol w:w="1257"/>
        <w:gridCol w:w="1309"/>
        <w:gridCol w:w="1109"/>
        <w:gridCol w:w="1344"/>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55"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2"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07"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1"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2"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1"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49"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5"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2"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2"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2"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7"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（小写）</w:t>
            </w:r>
          </w:p>
        </w:tc>
        <w:tc>
          <w:tcPr>
            <w:tcW w:w="2802" w:type="pct"/>
            <w:gridSpan w:val="4"/>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7"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（大写）</w:t>
            </w:r>
          </w:p>
        </w:tc>
        <w:tc>
          <w:tcPr>
            <w:tcW w:w="2802" w:type="pct"/>
            <w:gridSpan w:val="4"/>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5ECFA1C2">
      <w:pP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br w:type="page"/>
      </w:r>
    </w:p>
    <w:p w14:paraId="27286FA8">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-维修材料部分</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2227"/>
        <w:gridCol w:w="2499"/>
        <w:gridCol w:w="1969"/>
      </w:tblGrid>
      <w:tr w14:paraId="3265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1238C96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gridSpan w:val="2"/>
            <w:tcBorders>
              <w:top w:val="single" w:color="000000" w:sz="8" w:space="0"/>
              <w:left w:val="nil"/>
              <w:bottom w:val="single" w:color="000000" w:sz="8" w:space="0"/>
              <w:right w:val="single" w:color="000000" w:sz="4" w:space="0"/>
            </w:tcBorders>
            <w:vAlign w:val="center"/>
          </w:tcPr>
          <w:p w14:paraId="408F53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2D72260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268F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D5DF51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gridSpan w:val="2"/>
            <w:tcBorders>
              <w:top w:val="nil"/>
              <w:left w:val="nil"/>
              <w:bottom w:val="single" w:color="000000" w:sz="4" w:space="0"/>
              <w:right w:val="single" w:color="000000" w:sz="4" w:space="0"/>
            </w:tcBorders>
            <w:vAlign w:val="center"/>
          </w:tcPr>
          <w:p w14:paraId="7C596A5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0B387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2938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F9C25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gridSpan w:val="2"/>
            <w:tcBorders>
              <w:top w:val="nil"/>
              <w:left w:val="nil"/>
              <w:bottom w:val="single" w:color="000000" w:sz="4" w:space="0"/>
              <w:right w:val="single" w:color="000000" w:sz="4" w:space="0"/>
            </w:tcBorders>
            <w:vAlign w:val="center"/>
          </w:tcPr>
          <w:p w14:paraId="7B7DCD4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7BDDB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2CFFF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5E5F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gridSpan w:val="2"/>
            <w:tcBorders>
              <w:top w:val="nil"/>
              <w:left w:val="nil"/>
              <w:bottom w:val="single" w:color="000000" w:sz="4" w:space="0"/>
              <w:right w:val="single" w:color="000000" w:sz="4" w:space="0"/>
            </w:tcBorders>
            <w:vAlign w:val="center"/>
          </w:tcPr>
          <w:p w14:paraId="0553B8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7F6504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0AF7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D2DF98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gridSpan w:val="2"/>
            <w:tcBorders>
              <w:top w:val="nil"/>
              <w:left w:val="nil"/>
              <w:bottom w:val="single" w:color="000000" w:sz="4" w:space="0"/>
              <w:right w:val="single" w:color="000000" w:sz="4" w:space="0"/>
            </w:tcBorders>
            <w:vAlign w:val="center"/>
          </w:tcPr>
          <w:p w14:paraId="7B6896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24D17D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7CE4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BE1FC7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gridSpan w:val="2"/>
            <w:tcBorders>
              <w:top w:val="nil"/>
              <w:left w:val="nil"/>
              <w:bottom w:val="single" w:color="000000" w:sz="4" w:space="0"/>
              <w:right w:val="single" w:color="000000" w:sz="4" w:space="0"/>
            </w:tcBorders>
            <w:vAlign w:val="center"/>
          </w:tcPr>
          <w:p w14:paraId="2868CC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46E0833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2342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2F6DB4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gridSpan w:val="2"/>
            <w:tcBorders>
              <w:top w:val="nil"/>
              <w:left w:val="nil"/>
              <w:bottom w:val="single" w:color="000000" w:sz="4" w:space="0"/>
              <w:right w:val="single" w:color="000000" w:sz="4" w:space="0"/>
            </w:tcBorders>
            <w:vAlign w:val="center"/>
          </w:tcPr>
          <w:p w14:paraId="44C47C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442160F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4A25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EA8F04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gridSpan w:val="2"/>
            <w:tcBorders>
              <w:top w:val="nil"/>
              <w:left w:val="nil"/>
              <w:bottom w:val="single" w:color="000000" w:sz="4" w:space="0"/>
              <w:right w:val="single" w:color="000000" w:sz="4" w:space="0"/>
            </w:tcBorders>
            <w:vAlign w:val="center"/>
          </w:tcPr>
          <w:p w14:paraId="05F9EA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760862D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A8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35655C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gridSpan w:val="2"/>
            <w:tcBorders>
              <w:top w:val="nil"/>
              <w:left w:val="nil"/>
              <w:bottom w:val="single" w:color="000000" w:sz="4" w:space="0"/>
              <w:right w:val="single" w:color="000000" w:sz="4" w:space="0"/>
            </w:tcBorders>
            <w:vAlign w:val="center"/>
          </w:tcPr>
          <w:p w14:paraId="77E825C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78C701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6D4A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14F87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gridSpan w:val="2"/>
            <w:tcBorders>
              <w:top w:val="nil"/>
              <w:left w:val="nil"/>
              <w:bottom w:val="single" w:color="000000" w:sz="4" w:space="0"/>
              <w:right w:val="single" w:color="000000" w:sz="4" w:space="0"/>
            </w:tcBorders>
            <w:vAlign w:val="center"/>
          </w:tcPr>
          <w:p w14:paraId="53A170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3D63EDD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7462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A354B8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gridSpan w:val="2"/>
            <w:tcBorders>
              <w:top w:val="nil"/>
              <w:left w:val="nil"/>
              <w:bottom w:val="single" w:color="000000" w:sz="4" w:space="0"/>
              <w:right w:val="single" w:color="000000" w:sz="4" w:space="0"/>
            </w:tcBorders>
            <w:vAlign w:val="center"/>
          </w:tcPr>
          <w:p w14:paraId="0EB465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06B32B0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54DE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362603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gridSpan w:val="2"/>
            <w:tcBorders>
              <w:top w:val="nil"/>
              <w:left w:val="nil"/>
              <w:bottom w:val="single" w:color="000000" w:sz="4" w:space="0"/>
              <w:right w:val="single" w:color="000000" w:sz="4" w:space="0"/>
            </w:tcBorders>
            <w:vAlign w:val="center"/>
          </w:tcPr>
          <w:p w14:paraId="380F434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5687DFF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611B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6BEF91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gridSpan w:val="2"/>
            <w:tcBorders>
              <w:top w:val="nil"/>
              <w:left w:val="nil"/>
              <w:bottom w:val="single" w:color="000000" w:sz="4" w:space="0"/>
              <w:right w:val="single" w:color="000000" w:sz="4" w:space="0"/>
            </w:tcBorders>
            <w:vAlign w:val="center"/>
          </w:tcPr>
          <w:p w14:paraId="3B1391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62A676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12A7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97A46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gridSpan w:val="2"/>
            <w:tcBorders>
              <w:top w:val="single" w:color="000000" w:sz="4" w:space="0"/>
              <w:left w:val="nil"/>
              <w:bottom w:val="single" w:color="000000" w:sz="4" w:space="0"/>
              <w:right w:val="single" w:color="000000" w:sz="4" w:space="0"/>
            </w:tcBorders>
            <w:vAlign w:val="center"/>
          </w:tcPr>
          <w:p w14:paraId="56F372E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9D6FCC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383A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7EB3DE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gridSpan w:val="2"/>
            <w:tcBorders>
              <w:top w:val="nil"/>
              <w:left w:val="nil"/>
              <w:bottom w:val="single" w:color="000000" w:sz="4" w:space="0"/>
              <w:right w:val="single" w:color="000000" w:sz="4" w:space="0"/>
            </w:tcBorders>
            <w:vAlign w:val="center"/>
          </w:tcPr>
          <w:p w14:paraId="600424D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D3396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751E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AAE4E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gridSpan w:val="2"/>
            <w:tcBorders>
              <w:top w:val="nil"/>
              <w:left w:val="nil"/>
              <w:bottom w:val="single" w:color="000000" w:sz="4" w:space="0"/>
              <w:right w:val="single" w:color="000000" w:sz="4" w:space="0"/>
            </w:tcBorders>
            <w:vAlign w:val="center"/>
          </w:tcPr>
          <w:p w14:paraId="0FF9203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0C3AFB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3AE4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63C363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gridSpan w:val="2"/>
            <w:tcBorders>
              <w:top w:val="nil"/>
              <w:left w:val="nil"/>
              <w:bottom w:val="single" w:color="000000" w:sz="4" w:space="0"/>
              <w:right w:val="single" w:color="000000" w:sz="4" w:space="0"/>
            </w:tcBorders>
            <w:vAlign w:val="center"/>
          </w:tcPr>
          <w:p w14:paraId="5191FC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57B761E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40DC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6E4CF4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E5E687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510F2B9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8D2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50ED2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DA7794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10321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1E19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62CF1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C54C81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91425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338E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C3A38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205E7AA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22AECB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6C40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6F86C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B28AA0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0CB7D8D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7700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48A7A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F3F6CD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276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7806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D2405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2D48F5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C7EC3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0FDE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19B50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15D15F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BEDE7C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7E2B5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3329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6F300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6C354D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624C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830DB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7994E7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18582C9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7041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BBF8C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8C10B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3628FF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164A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5A2B48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ECDA4E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0E26F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0F21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BE24D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F654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669328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71F6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73158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10D2D78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E1A15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10757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1EA2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5256AA2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5969C0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72F7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38B313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45A0B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9BBD1E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r w14:paraId="67D9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restart"/>
            <w:tcBorders>
              <w:top w:val="single" w:color="000000" w:sz="4" w:space="0"/>
              <w:left w:val="single" w:color="000000" w:sz="4" w:space="0"/>
              <w:right w:val="single" w:color="000000" w:sz="4" w:space="0"/>
            </w:tcBorders>
            <w:vAlign w:val="center"/>
          </w:tcPr>
          <w:p w14:paraId="52A9833F">
            <w:pPr>
              <w:keepNext w:val="0"/>
              <w:keepLines w:val="0"/>
              <w:pageBreakBefore w:val="0"/>
              <w:kinsoku/>
              <w:wordWrap/>
              <w:overflowPunct/>
              <w:topLinePunct w:val="0"/>
              <w:autoSpaceDE/>
              <w:autoSpaceDN/>
              <w:bidi w:val="0"/>
              <w:adjustRightInd w:val="0"/>
              <w:snapToGrid w:val="0"/>
              <w:spacing w:line="360" w:lineRule="exact"/>
              <w:jc w:val="center"/>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投标下浮率（%）</w:t>
            </w: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05938FFA">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大写：百分之</w:t>
            </w:r>
          </w:p>
        </w:tc>
      </w:tr>
      <w:tr w14:paraId="2F19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continue"/>
            <w:tcBorders>
              <w:left w:val="single" w:color="000000" w:sz="4" w:space="0"/>
              <w:bottom w:val="single" w:color="000000" w:sz="4" w:space="0"/>
              <w:right w:val="single" w:color="000000" w:sz="4" w:space="0"/>
            </w:tcBorders>
            <w:vAlign w:val="center"/>
          </w:tcPr>
          <w:p w14:paraId="43FF18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7D92CC0E">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小写：     %</w:t>
            </w:r>
          </w:p>
        </w:tc>
      </w:tr>
    </w:tbl>
    <w:p w14:paraId="16855E53">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2"/>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4"/>
      <w:bookmarkStart w:id="163"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131845147"/>
                          <w:bookmarkStart w:id="167" w:name="_Toc3611018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131845147"/>
                    <w:bookmarkStart w:id="167" w:name="_Toc3611018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SXHY-2025CG-0910</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A4F2F94"/>
    <w:rsid w:val="3C6B56F9"/>
    <w:rsid w:val="3D5921E7"/>
    <w:rsid w:val="3E6DF6DC"/>
    <w:rsid w:val="3FCFDA4A"/>
    <w:rsid w:val="427E60E8"/>
    <w:rsid w:val="429047D0"/>
    <w:rsid w:val="442D31C1"/>
    <w:rsid w:val="48EC13B2"/>
    <w:rsid w:val="4AEF30F9"/>
    <w:rsid w:val="4F4B3D85"/>
    <w:rsid w:val="500862DC"/>
    <w:rsid w:val="50D13A00"/>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3057EF"/>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character" w:customStyle="1" w:styleId="96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20182</Words>
  <Characters>21557</Characters>
  <Paragraphs>1943</Paragraphs>
  <TotalTime>1</TotalTime>
  <ScaleCrop>false</ScaleCrop>
  <LinksUpToDate>false</LinksUpToDate>
  <CharactersWithSpaces>22125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2025-09-17T04:11:46Z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868334D6D0384E04AD7807EF6ADFE566_13</vt:lpwstr>
  </property>
  <property fmtid="{D5CDD505-2E9C-101B-9397-08002B2CF9AE}" pid="5" name="KSOTemplateDocerSaveRecord">
    <vt:lpwstr>eyJoZGlkIjoiY2M4Mzk5NTFhODQ4YjkzMDc3ZDU0MDQ5ZDU3ODM3NzEiLCJ1c2VySWQiOiIxMjMxMTY3ODgzIn0=</vt:lpwstr>
  </property>
</Properties>
</file>