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3FB159">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黑体" w:hAnsi="黑体" w:eastAsia="黑体" w:cs="黑体"/>
          <w:sz w:val="44"/>
          <w:szCs w:val="44"/>
          <w:highlight w:val="none"/>
          <w:lang w:eastAsia="zh-CN"/>
        </w:rPr>
      </w:pPr>
      <w:r>
        <w:rPr>
          <w:rFonts w:hint="eastAsia" w:ascii="黑体" w:hAnsi="黑体" w:eastAsia="黑体" w:cs="黑体"/>
          <w:sz w:val="44"/>
          <w:szCs w:val="44"/>
          <w:highlight w:val="none"/>
          <w:lang w:eastAsia="zh-CN"/>
        </w:rPr>
        <w:t>绍兴市第七人民医院</w:t>
      </w:r>
    </w:p>
    <w:p w14:paraId="2D770404">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黑体" w:hAnsi="黑体" w:eastAsia="黑体" w:cs="黑体"/>
          <w:sz w:val="44"/>
          <w:szCs w:val="44"/>
          <w:highlight w:val="none"/>
          <w:lang w:eastAsia="zh-CN"/>
        </w:rPr>
      </w:pPr>
      <w:r>
        <w:rPr>
          <w:rFonts w:hint="eastAsia" w:ascii="黑体" w:hAnsi="黑体" w:eastAsia="黑体" w:cs="黑体"/>
          <w:sz w:val="44"/>
          <w:szCs w:val="44"/>
          <w:highlight w:val="none"/>
          <w:lang w:val="en-US" w:eastAsia="zh-CN"/>
        </w:rPr>
        <w:t>电动自行车充电桩安装</w:t>
      </w:r>
      <w:r>
        <w:rPr>
          <w:rFonts w:hint="eastAsia" w:ascii="黑体" w:hAnsi="黑体" w:eastAsia="黑体" w:cs="黑体"/>
          <w:sz w:val="44"/>
          <w:szCs w:val="44"/>
          <w:highlight w:val="none"/>
          <w:lang w:eastAsia="zh-CN"/>
        </w:rPr>
        <w:t>项目</w:t>
      </w:r>
      <w:r>
        <w:rPr>
          <w:rFonts w:hint="eastAsia" w:ascii="黑体" w:hAnsi="黑体" w:eastAsia="黑体" w:cs="黑体"/>
          <w:sz w:val="44"/>
          <w:szCs w:val="44"/>
          <w:highlight w:val="none"/>
          <w:lang w:val="en-US" w:eastAsia="zh-CN"/>
        </w:rPr>
        <w:t>院内比价</w:t>
      </w:r>
      <w:r>
        <w:rPr>
          <w:rFonts w:hint="eastAsia" w:ascii="黑体" w:hAnsi="黑体" w:eastAsia="黑体" w:cs="黑体"/>
          <w:sz w:val="44"/>
          <w:szCs w:val="44"/>
          <w:highlight w:val="none"/>
          <w:lang w:eastAsia="zh-CN"/>
        </w:rPr>
        <w:t>公告</w:t>
      </w:r>
    </w:p>
    <w:p w14:paraId="45246A46">
      <w:pPr>
        <w:pStyle w:val="4"/>
        <w:keepNext w:val="0"/>
        <w:keepLines w:val="0"/>
        <w:pageBreakBefore w:val="0"/>
        <w:widowControl/>
        <w:numPr>
          <w:ilvl w:val="0"/>
          <w:numId w:val="2"/>
        </w:numPr>
        <w:shd w:val="clear" w:color="auto" w:fill="FFFFFF"/>
        <w:kinsoku/>
        <w:wordWrap/>
        <w:overflowPunct/>
        <w:topLinePunct w:val="0"/>
        <w:autoSpaceDE/>
        <w:autoSpaceDN/>
        <w:bidi w:val="0"/>
        <w:adjustRightInd w:val="0"/>
        <w:snapToGrid w:val="0"/>
        <w:spacing w:before="30" w:beforeAutospacing="0" w:after="30" w:afterAutospacing="0" w:line="480" w:lineRule="exact"/>
        <w:ind w:left="0" w:leftChars="0" w:right="30" w:firstLine="420" w:firstLineChars="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项目概况</w:t>
      </w:r>
      <w:r>
        <w:rPr>
          <w:rFonts w:hint="eastAsia" w:ascii="仿宋_GB2312" w:hAnsi="仿宋_GB2312" w:eastAsia="仿宋_GB2312" w:cs="仿宋_GB2312"/>
          <w:sz w:val="32"/>
          <w:szCs w:val="32"/>
          <w:highlight w:val="none"/>
          <w:lang w:val="en-US" w:eastAsia="zh-CN"/>
        </w:rPr>
        <w:br w:type="textWrapping"/>
      </w:r>
      <w:r>
        <w:rPr>
          <w:rFonts w:hint="eastAsia" w:ascii="仿宋_GB2312" w:hAnsi="仿宋_GB2312" w:eastAsia="仿宋_GB2312" w:cs="仿宋_GB2312"/>
          <w:sz w:val="32"/>
          <w:szCs w:val="32"/>
          <w:highlight w:val="none"/>
          <w:lang w:val="en-US" w:eastAsia="zh-CN"/>
        </w:rPr>
        <w:t>1.项目名称：电动自行车充电桩安装项目</w:t>
      </w:r>
      <w:r>
        <w:rPr>
          <w:rFonts w:hint="eastAsia" w:ascii="仿宋_GB2312" w:hAnsi="仿宋_GB2312" w:eastAsia="仿宋_GB2312" w:cs="仿宋_GB2312"/>
          <w:sz w:val="32"/>
          <w:szCs w:val="32"/>
          <w:highlight w:val="none"/>
          <w:lang w:val="en-US" w:eastAsia="zh-CN"/>
        </w:rPr>
        <w:br w:type="textWrapping"/>
      </w:r>
      <w:r>
        <w:rPr>
          <w:rFonts w:hint="eastAsia" w:ascii="仿宋_GB2312" w:hAnsi="仿宋_GB2312" w:eastAsia="仿宋_GB2312" w:cs="仿宋_GB2312"/>
          <w:sz w:val="32"/>
          <w:szCs w:val="32"/>
          <w:highlight w:val="none"/>
          <w:lang w:val="en-US" w:eastAsia="zh-CN"/>
        </w:rPr>
        <w:t>2.安装地点：医院西边电动自行车停放处</w:t>
      </w:r>
      <w:r>
        <w:rPr>
          <w:rFonts w:hint="eastAsia" w:ascii="仿宋_GB2312" w:hAnsi="仿宋_GB2312" w:eastAsia="仿宋_GB2312" w:cs="仿宋_GB2312"/>
          <w:sz w:val="32"/>
          <w:szCs w:val="32"/>
          <w:highlight w:val="none"/>
          <w:lang w:val="en-US" w:eastAsia="zh-CN"/>
        </w:rPr>
        <w:br w:type="textWrapping"/>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val="en-US" w:eastAsia="zh-CN"/>
        </w:rPr>
        <w:t>安装时间：2027年8月2日前需安装完毕</w:t>
      </w:r>
    </w:p>
    <w:p w14:paraId="64B60A5B">
      <w:pPr>
        <w:pStyle w:val="4"/>
        <w:keepNext w:val="0"/>
        <w:keepLines w:val="0"/>
        <w:pageBreakBefore w:val="0"/>
        <w:widowControl/>
        <w:numPr>
          <w:ilvl w:val="-1"/>
          <w:numId w:val="0"/>
        </w:numPr>
        <w:shd w:val="clear" w:color="auto" w:fill="FFFFFF"/>
        <w:kinsoku/>
        <w:wordWrap/>
        <w:overflowPunct/>
        <w:topLinePunct w:val="0"/>
        <w:autoSpaceDE/>
        <w:autoSpaceDN/>
        <w:bidi w:val="0"/>
        <w:adjustRightInd w:val="0"/>
        <w:snapToGrid w:val="0"/>
        <w:spacing w:before="30" w:beforeAutospacing="0" w:after="30" w:afterAutospacing="0" w:line="480" w:lineRule="exact"/>
        <w:ind w:left="0" w:right="3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4.合同签订期限：三年</w:t>
      </w:r>
    </w:p>
    <w:p w14:paraId="2157F69F">
      <w:pPr>
        <w:pStyle w:val="4"/>
        <w:widowControl/>
        <w:numPr>
          <w:ilvl w:val="0"/>
          <w:numId w:val="2"/>
        </w:numPr>
        <w:shd w:val="clear" w:color="auto" w:fill="FFFFFF"/>
        <w:spacing w:before="30" w:beforeAutospacing="0" w:after="30" w:afterAutospacing="0" w:line="480" w:lineRule="exact"/>
        <w:ind w:left="0" w:leftChars="0" w:right="30" w:firstLine="420" w:firstLineChars="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截止时间及相关注意事项</w:t>
      </w:r>
    </w:p>
    <w:p w14:paraId="105F1B68">
      <w:pPr>
        <w:pStyle w:val="4"/>
        <w:widowControl/>
        <w:numPr>
          <w:numId w:val="0"/>
        </w:numPr>
        <w:shd w:val="clear" w:color="auto" w:fill="FFFFFF"/>
        <w:spacing w:before="30" w:beforeAutospacing="0" w:after="30" w:afterAutospacing="0" w:line="480" w:lineRule="exact"/>
        <w:ind w:left="0" w:right="30" w:firstLine="640"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（1）时间：2026年</w:t>
      </w:r>
      <w:r>
        <w:rPr>
          <w:rFonts w:hint="eastAsia" w:ascii="仿宋_GB2312" w:hAnsi="仿宋_GB2312" w:eastAsia="仿宋_GB2312" w:cs="仿宋_GB2312"/>
          <w:kern w:val="2"/>
          <w:sz w:val="32"/>
          <w:szCs w:val="32"/>
          <w:highlight w:val="none"/>
          <w:lang w:val="en-US" w:eastAsia="zh-CN" w:bidi="ar-SA"/>
        </w:rPr>
        <w:t>7</w:t>
      </w:r>
      <w:r>
        <w:rPr>
          <w:rFonts w:hint="eastAsia" w:ascii="仿宋_GB2312" w:hAnsi="仿宋_GB2312" w:eastAsia="仿宋_GB2312" w:cs="仿宋_GB2312"/>
          <w:kern w:val="2"/>
          <w:sz w:val="32"/>
          <w:szCs w:val="32"/>
          <w:highlight w:val="none"/>
          <w:lang w:val="en-US" w:eastAsia="zh-CN" w:bidi="ar-SA"/>
        </w:rPr>
        <w:t>月</w:t>
      </w:r>
      <w:r>
        <w:rPr>
          <w:rFonts w:hint="eastAsia" w:ascii="仿宋_GB2312" w:hAnsi="仿宋_GB2312" w:eastAsia="仿宋_GB2312" w:cs="仿宋_GB2312"/>
          <w:kern w:val="2"/>
          <w:sz w:val="32"/>
          <w:szCs w:val="32"/>
          <w:highlight w:val="none"/>
          <w:lang w:val="en-US" w:eastAsia="zh-CN" w:bidi="ar-SA"/>
        </w:rPr>
        <w:t>21</w:t>
      </w:r>
      <w:r>
        <w:rPr>
          <w:rFonts w:hint="eastAsia" w:ascii="仿宋_GB2312" w:hAnsi="仿宋_GB2312" w:eastAsia="仿宋_GB2312" w:cs="仿宋_GB2312"/>
          <w:kern w:val="2"/>
          <w:sz w:val="32"/>
          <w:szCs w:val="32"/>
          <w:highlight w:val="none"/>
          <w:lang w:val="en-US" w:eastAsia="zh-CN" w:bidi="ar-SA"/>
        </w:rPr>
        <w:t>日至2026年</w:t>
      </w:r>
      <w:r>
        <w:rPr>
          <w:rFonts w:hint="eastAsia" w:ascii="仿宋_GB2312" w:hAnsi="仿宋_GB2312" w:eastAsia="仿宋_GB2312" w:cs="仿宋_GB2312"/>
          <w:kern w:val="2"/>
          <w:sz w:val="32"/>
          <w:szCs w:val="32"/>
          <w:highlight w:val="none"/>
          <w:lang w:val="en-US" w:eastAsia="zh-CN" w:bidi="ar-SA"/>
        </w:rPr>
        <w:t>7</w:t>
      </w:r>
      <w:r>
        <w:rPr>
          <w:rFonts w:hint="eastAsia" w:ascii="仿宋_GB2312" w:hAnsi="仿宋_GB2312" w:eastAsia="仿宋_GB2312" w:cs="仿宋_GB2312"/>
          <w:kern w:val="2"/>
          <w:sz w:val="32"/>
          <w:szCs w:val="32"/>
          <w:highlight w:val="none"/>
          <w:lang w:val="en-US" w:eastAsia="zh-CN" w:bidi="ar-SA"/>
        </w:rPr>
        <w:t>月2</w:t>
      </w:r>
      <w:r>
        <w:rPr>
          <w:rFonts w:hint="eastAsia" w:ascii="仿宋_GB2312" w:hAnsi="仿宋_GB2312" w:eastAsia="仿宋_GB2312" w:cs="仿宋_GB2312"/>
          <w:kern w:val="2"/>
          <w:sz w:val="32"/>
          <w:szCs w:val="32"/>
          <w:highlight w:val="none"/>
          <w:lang w:val="en-US" w:eastAsia="zh-CN" w:bidi="ar-SA"/>
        </w:rPr>
        <w:t>7</w:t>
      </w:r>
      <w:r>
        <w:rPr>
          <w:rFonts w:hint="eastAsia" w:ascii="仿宋_GB2312" w:hAnsi="仿宋_GB2312" w:eastAsia="仿宋_GB2312" w:cs="仿宋_GB2312"/>
          <w:kern w:val="2"/>
          <w:sz w:val="32"/>
          <w:szCs w:val="32"/>
          <w:highlight w:val="none"/>
          <w:lang w:val="en-US" w:eastAsia="zh-CN" w:bidi="ar-SA"/>
        </w:rPr>
        <w:t>日上午8:00-11:30；下午14:00-17:00(双休日及法定节假日除外）</w:t>
      </w:r>
      <w:r>
        <w:rPr>
          <w:rFonts w:hint="eastAsia" w:ascii="仿宋_GB2312" w:hAnsi="仿宋_GB2312" w:eastAsia="仿宋_GB2312" w:cs="仿宋_GB2312"/>
          <w:kern w:val="2"/>
          <w:sz w:val="32"/>
          <w:szCs w:val="32"/>
          <w:highlight w:val="none"/>
          <w:lang w:val="en-US" w:eastAsia="zh-CN" w:bidi="ar-SA"/>
        </w:rPr>
        <w:t>。</w:t>
      </w:r>
    </w:p>
    <w:p w14:paraId="7F2BCC82">
      <w:pPr>
        <w:pStyle w:val="4"/>
        <w:widowControl/>
        <w:numPr>
          <w:numId w:val="0"/>
        </w:numPr>
        <w:shd w:val="clear" w:color="auto" w:fill="FFFFFF"/>
        <w:spacing w:before="30" w:beforeAutospacing="0" w:after="30" w:afterAutospacing="0" w:line="480" w:lineRule="exact"/>
        <w:ind w:left="0" w:right="30" w:firstLine="640"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（2）地点：绍兴市区胜利西路1234号绍兴市第七人民医院行政楼422保卫科办公室。</w:t>
      </w:r>
      <w:bookmarkStart w:id="0" w:name="_GoBack"/>
      <w:bookmarkEnd w:id="0"/>
    </w:p>
    <w:p w14:paraId="1E8DC533">
      <w:pPr>
        <w:pStyle w:val="4"/>
        <w:keepNext w:val="0"/>
        <w:keepLines w:val="0"/>
        <w:pageBreakBefore w:val="0"/>
        <w:widowControl/>
        <w:numPr>
          <w:ilvl w:val="-1"/>
          <w:numId w:val="0"/>
        </w:numPr>
        <w:shd w:val="clear" w:color="auto" w:fill="FFFFFF"/>
        <w:kinsoku/>
        <w:wordWrap/>
        <w:overflowPunct/>
        <w:topLinePunct w:val="0"/>
        <w:autoSpaceDE/>
        <w:autoSpaceDN/>
        <w:bidi w:val="0"/>
        <w:adjustRightInd w:val="0"/>
        <w:snapToGrid w:val="0"/>
        <w:spacing w:before="30" w:beforeAutospacing="0" w:after="30" w:afterAutospacing="0" w:line="480" w:lineRule="exact"/>
        <w:ind w:left="0" w:right="30"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 xml:space="preserve">   </w:t>
      </w:r>
    </w:p>
    <w:p w14:paraId="5B7BA0E4">
      <w:pPr>
        <w:pStyle w:val="4"/>
        <w:keepNext w:val="0"/>
        <w:keepLines w:val="0"/>
        <w:pageBreakBefore w:val="0"/>
        <w:widowControl/>
        <w:numPr>
          <w:ilvl w:val="0"/>
          <w:numId w:val="2"/>
        </w:numPr>
        <w:shd w:val="clear" w:color="auto" w:fill="FFFFFF"/>
        <w:kinsoku/>
        <w:wordWrap/>
        <w:overflowPunct/>
        <w:topLinePunct w:val="0"/>
        <w:autoSpaceDE/>
        <w:autoSpaceDN/>
        <w:bidi w:val="0"/>
        <w:adjustRightInd w:val="0"/>
        <w:snapToGrid w:val="0"/>
        <w:spacing w:before="30" w:beforeAutospacing="0" w:after="30" w:afterAutospacing="0" w:line="480" w:lineRule="exact"/>
        <w:ind w:left="0" w:leftChars="0" w:right="30" w:rightChars="0" w:firstLine="420" w:firstLineChars="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安装要求</w:t>
      </w:r>
    </w:p>
    <w:p w14:paraId="63CC349F">
      <w:pPr>
        <w:pStyle w:val="4"/>
        <w:keepNext w:val="0"/>
        <w:keepLines w:val="0"/>
        <w:pageBreakBefore w:val="0"/>
        <w:widowControl/>
        <w:numPr>
          <w:ilvl w:val="-1"/>
          <w:numId w:val="0"/>
        </w:numPr>
        <w:shd w:val="clear" w:color="auto" w:fill="FFFFFF"/>
        <w:kinsoku/>
        <w:wordWrap/>
        <w:overflowPunct/>
        <w:topLinePunct w:val="0"/>
        <w:autoSpaceDE/>
        <w:autoSpaceDN/>
        <w:bidi w:val="0"/>
        <w:adjustRightInd w:val="0"/>
        <w:snapToGrid w:val="0"/>
        <w:spacing w:before="30" w:beforeAutospacing="0" w:after="30" w:afterAutospacing="0" w:line="480" w:lineRule="exact"/>
        <w:ind w:left="0" w:leftChars="0" w:right="30" w:righ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bidi="ar-SA"/>
        </w:rPr>
        <w:t>电动自行车停放处需安装六组机器，每组连接10个插座，组与组之间相隔2米，摆放充电机器使用说明和安全提示。</w:t>
      </w:r>
    </w:p>
    <w:p w14:paraId="73E92ED7">
      <w:pPr>
        <w:keepNext w:val="0"/>
        <w:keepLines w:val="0"/>
        <w:pageBreakBefore w:val="0"/>
        <w:widowControl/>
        <w:numPr>
          <w:ilvl w:val="0"/>
          <w:numId w:val="2"/>
        </w:numPr>
        <w:suppressLineNumbers w:val="0"/>
        <w:kinsoku/>
        <w:wordWrap/>
        <w:overflowPunct/>
        <w:topLinePunct w:val="0"/>
        <w:autoSpaceDE/>
        <w:autoSpaceDN/>
        <w:bidi w:val="0"/>
        <w:adjustRightInd w:val="0"/>
        <w:snapToGrid w:val="0"/>
        <w:spacing w:line="480" w:lineRule="exact"/>
        <w:ind w:left="0" w:leftChars="0" w:firstLine="420" w:firstLineChars="0"/>
        <w:jc w:val="left"/>
        <w:textAlignment w:val="auto"/>
        <w:rPr>
          <w:rFonts w:hint="eastAsia" w:ascii="黑体" w:hAnsi="黑体" w:eastAsia="黑体" w:cs="黑体"/>
          <w:kern w:val="0"/>
          <w:sz w:val="32"/>
          <w:szCs w:val="32"/>
          <w:highlight w:val="none"/>
          <w:lang w:val="en-US" w:eastAsia="zh-CN" w:bidi="ar"/>
        </w:rPr>
      </w:pPr>
      <w:r>
        <w:rPr>
          <w:rFonts w:hint="eastAsia" w:ascii="黑体" w:hAnsi="黑体" w:eastAsia="黑体" w:cs="黑体"/>
          <w:kern w:val="0"/>
          <w:sz w:val="32"/>
          <w:szCs w:val="32"/>
          <w:highlight w:val="none"/>
          <w:lang w:val="en-US" w:eastAsia="zh-CN" w:bidi="ar"/>
        </w:rPr>
        <w:t>合作核心规则</w:t>
      </w:r>
    </w:p>
    <w:p w14:paraId="4039B6B2">
      <w:pPr>
        <w:pStyle w:val="2"/>
        <w:keepNext w:val="0"/>
        <w:keepLines w:val="0"/>
        <w:pageBreakBefore w:val="0"/>
        <w:widowControl/>
        <w:kinsoku/>
        <w:wordWrap/>
        <w:overflowPunct/>
        <w:topLinePunct w:val="0"/>
        <w:autoSpaceDE/>
        <w:autoSpaceDN/>
        <w:bidi w:val="0"/>
        <w:adjustRightInd w:val="0"/>
        <w:snapToGrid w:val="0"/>
        <w:spacing w:line="480" w:lineRule="exact"/>
        <w:ind w:left="0" w:leftChars="0"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合作模式：中标供应商全额承担充电桩设备、所有安装耗材、施工改造、后续运维检修等全部相关成本，医院仅提供指定区域的场地使用权，不投入任何设备、资金，不承担设备施工及运营过程中的安全责任。</w:t>
      </w:r>
    </w:p>
    <w:p w14:paraId="42505797">
      <w:pPr>
        <w:pStyle w:val="2"/>
        <w:keepNext w:val="0"/>
        <w:keepLines w:val="0"/>
        <w:pageBreakBefore w:val="0"/>
        <w:widowControl/>
        <w:kinsoku/>
        <w:wordWrap/>
        <w:overflowPunct/>
        <w:topLinePunct w:val="0"/>
        <w:autoSpaceDE/>
        <w:autoSpaceDN/>
        <w:bidi w:val="0"/>
        <w:adjustRightInd w:val="0"/>
        <w:snapToGrid w:val="0"/>
        <w:spacing w:line="480" w:lineRule="exact"/>
        <w:ind w:left="0" w:leftChars="0"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费用缴纳要求：中标供应商需按协商周期（如月/季度）向医院支付实际产生的电费，电费计价标准可参考医院现有商用供电电价执行，同时需明确约定场地使用相关的付费标准。</w:t>
      </w:r>
    </w:p>
    <w:p w14:paraId="16DD51E0">
      <w:pPr>
        <w:pStyle w:val="2"/>
        <w:keepNext w:val="0"/>
        <w:keepLines w:val="0"/>
        <w:pageBreakBefore w:val="0"/>
        <w:widowControl/>
        <w:kinsoku/>
        <w:wordWrap/>
        <w:overflowPunct/>
        <w:topLinePunct w:val="0"/>
        <w:autoSpaceDE/>
        <w:autoSpaceDN/>
        <w:bidi w:val="0"/>
        <w:adjustRightInd w:val="0"/>
        <w:snapToGrid w:val="0"/>
        <w:spacing w:line="480" w:lineRule="exact"/>
        <w:ind w:left="0" w:leftChars="0"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运营管理要求：中标供应商需配套符合消防安全规范的智能充电桩，遵守医院院内管理规定，充电服务收费定价需符合本地相关物价指导规则。</w:t>
      </w:r>
    </w:p>
    <w:p w14:paraId="3C9D8473">
      <w:pPr>
        <w:keepNext w:val="0"/>
        <w:keepLines w:val="0"/>
        <w:pageBreakBefore w:val="0"/>
        <w:widowControl/>
        <w:numPr>
          <w:ilvl w:val="0"/>
          <w:numId w:val="2"/>
        </w:numPr>
        <w:suppressLineNumbers w:val="0"/>
        <w:kinsoku/>
        <w:wordWrap/>
        <w:overflowPunct/>
        <w:topLinePunct w:val="0"/>
        <w:autoSpaceDE/>
        <w:autoSpaceDN/>
        <w:bidi w:val="0"/>
        <w:adjustRightInd w:val="0"/>
        <w:snapToGrid w:val="0"/>
        <w:spacing w:line="480" w:lineRule="exact"/>
        <w:ind w:left="0" w:leftChars="0" w:firstLine="420" w:firstLineChars="0"/>
        <w:jc w:val="left"/>
        <w:textAlignment w:val="auto"/>
        <w:rPr>
          <w:rFonts w:hint="eastAsia" w:ascii="黑体" w:hAnsi="黑体" w:eastAsia="黑体" w:cs="黑体"/>
          <w:sz w:val="32"/>
          <w:szCs w:val="32"/>
          <w:highlight w:val="none"/>
        </w:rPr>
      </w:pPr>
      <w:r>
        <w:rPr>
          <w:rFonts w:hint="eastAsia" w:ascii="黑体" w:hAnsi="黑体" w:eastAsia="黑体" w:cs="黑体"/>
          <w:kern w:val="0"/>
          <w:sz w:val="32"/>
          <w:szCs w:val="32"/>
          <w:highlight w:val="none"/>
          <w:lang w:val="en-US" w:eastAsia="zh-CN" w:bidi="ar"/>
        </w:rPr>
        <w:t>比价参与方资格要求</w:t>
      </w:r>
    </w:p>
    <w:p w14:paraId="5F245D3D">
      <w:pPr>
        <w:pStyle w:val="2"/>
        <w:keepNext w:val="0"/>
        <w:keepLines w:val="0"/>
        <w:pageBreakBefore w:val="0"/>
        <w:widowControl/>
        <w:numPr>
          <w:ilvl w:val="-1"/>
          <w:numId w:val="0"/>
        </w:numPr>
        <w:kinsoku/>
        <w:wordWrap/>
        <w:overflowPunct/>
        <w:topLinePunct w:val="0"/>
        <w:autoSpaceDE/>
        <w:autoSpaceDN/>
        <w:bidi w:val="0"/>
        <w:adjustRightInd w:val="0"/>
        <w:snapToGrid w:val="0"/>
        <w:spacing w:line="480" w:lineRule="exact"/>
        <w:ind w:left="0" w:leftChars="0"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1.具备独立法人资格，持有有效营业执照，经营范围包含新能源充电设施运营相关内容；</w:t>
      </w:r>
    </w:p>
    <w:p w14:paraId="299E2D73">
      <w:pPr>
        <w:pStyle w:val="2"/>
        <w:spacing w:line="48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符合《中华人民共和国政府采购法》第二十二条的规定 ；未被“信用中国”（www.creditchina.gov.cn）、中国政府采购网（www.ccgp.gov.cn）列入失信被执行人、重大税收违法失信主体、政府采购严重违法失信行为记录名单</w:t>
      </w:r>
      <w:r>
        <w:rPr>
          <w:rFonts w:hint="eastAsia" w:ascii="仿宋" w:hAnsi="仿宋" w:eastAsia="仿宋" w:cs="仿宋"/>
          <w:color w:val="auto"/>
          <w:sz w:val="32"/>
          <w:szCs w:val="32"/>
          <w:highlight w:val="none"/>
          <w:lang w:eastAsia="zh-CN"/>
        </w:rPr>
        <w:t>；</w:t>
      </w:r>
    </w:p>
    <w:p w14:paraId="1926E959">
      <w:pPr>
        <w:pStyle w:val="2"/>
        <w:keepNext w:val="0"/>
        <w:keepLines w:val="0"/>
        <w:pageBreakBefore w:val="0"/>
        <w:widowControl/>
        <w:numPr>
          <w:ilvl w:val="-1"/>
          <w:numId w:val="0"/>
        </w:numPr>
        <w:kinsoku/>
        <w:wordWrap/>
        <w:overflowPunct/>
        <w:topLinePunct w:val="0"/>
        <w:autoSpaceDE/>
        <w:autoSpaceDN/>
        <w:bidi w:val="0"/>
        <w:adjustRightInd w:val="0"/>
        <w:snapToGrid w:val="0"/>
        <w:spacing w:line="480" w:lineRule="exact"/>
        <w:ind w:left="0" w:leftChars="0"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3.可开具合规的电费及相关服务对应品类的正规票据。</w:t>
      </w:r>
    </w:p>
    <w:p w14:paraId="4FEB714B">
      <w:pPr>
        <w:pStyle w:val="4"/>
        <w:keepNext w:val="0"/>
        <w:keepLines w:val="0"/>
        <w:pageBreakBefore w:val="0"/>
        <w:widowControl/>
        <w:numPr>
          <w:ilvl w:val="0"/>
          <w:numId w:val="2"/>
        </w:numPr>
        <w:shd w:val="clear" w:color="auto" w:fill="FFFFFF"/>
        <w:kinsoku/>
        <w:wordWrap/>
        <w:overflowPunct/>
        <w:topLinePunct w:val="0"/>
        <w:autoSpaceDE/>
        <w:autoSpaceDN/>
        <w:bidi w:val="0"/>
        <w:adjustRightInd w:val="0"/>
        <w:snapToGrid w:val="0"/>
        <w:spacing w:before="30" w:beforeAutospacing="0" w:after="30" w:afterAutospacing="0" w:line="480" w:lineRule="exact"/>
        <w:ind w:left="0" w:leftChars="0" w:right="30" w:firstLine="420" w:firstLineChars="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需提供以下资料</w:t>
      </w:r>
      <w:r>
        <w:rPr>
          <w:rFonts w:hint="eastAsia" w:ascii="仿宋_GB2312" w:hAnsi="仿宋_GB2312" w:eastAsia="仿宋_GB2312" w:cs="仿宋_GB2312"/>
          <w:sz w:val="32"/>
          <w:szCs w:val="32"/>
          <w:highlight w:val="none"/>
          <w:lang w:val="en-US" w:eastAsia="zh-CN"/>
        </w:rPr>
        <w:t>：</w:t>
      </w:r>
    </w:p>
    <w:p w14:paraId="726B312C">
      <w:pPr>
        <w:pStyle w:val="2"/>
        <w:keepNext w:val="0"/>
        <w:keepLines w:val="0"/>
        <w:pageBreakBefore w:val="0"/>
        <w:widowControl/>
        <w:kinsoku/>
        <w:wordWrap/>
        <w:overflowPunct/>
        <w:topLinePunct w:val="0"/>
        <w:autoSpaceDE/>
        <w:autoSpaceDN/>
        <w:bidi w:val="0"/>
        <w:adjustRightInd w:val="0"/>
        <w:snapToGrid w:val="0"/>
        <w:spacing w:line="480" w:lineRule="exact"/>
        <w:ind w:left="0" w:leftChars="0"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营业执照、附件1、法人代表授权书、法定代表人或其授权代表身份证正反面复印件。以上文件需放置于全密封的文件袋中，密封处需加盖单位公章。</w:t>
      </w:r>
    </w:p>
    <w:p w14:paraId="4139CFAF">
      <w:pPr>
        <w:pStyle w:val="2"/>
        <w:keepNext w:val="0"/>
        <w:keepLines w:val="0"/>
        <w:pageBreakBefore w:val="0"/>
        <w:widowControl/>
        <w:numPr>
          <w:ilvl w:val="0"/>
          <w:numId w:val="2"/>
        </w:numPr>
        <w:kinsoku/>
        <w:wordWrap/>
        <w:overflowPunct/>
        <w:topLinePunct w:val="0"/>
        <w:autoSpaceDE/>
        <w:autoSpaceDN/>
        <w:bidi w:val="0"/>
        <w:adjustRightInd w:val="0"/>
        <w:snapToGrid w:val="0"/>
        <w:spacing w:line="480" w:lineRule="exact"/>
        <w:ind w:left="0" w:leftChars="0" w:firstLine="420" w:firstLineChars="0"/>
        <w:textAlignment w:val="auto"/>
        <w:rPr>
          <w:rFonts w:hint="eastAsia" w:ascii="黑体" w:hAnsi="黑体" w:eastAsia="黑体" w:cs="黑体"/>
          <w:b w:val="0"/>
          <w:bCs w:val="0"/>
          <w:kern w:val="2"/>
          <w:sz w:val="32"/>
          <w:szCs w:val="32"/>
          <w:highlight w:val="none"/>
          <w:lang w:val="en-US" w:eastAsia="zh-CN" w:bidi="ar-SA"/>
        </w:rPr>
      </w:pPr>
      <w:r>
        <w:rPr>
          <w:rFonts w:hint="eastAsia" w:ascii="黑体" w:hAnsi="黑体" w:eastAsia="黑体" w:cs="黑体"/>
          <w:b w:val="0"/>
          <w:bCs w:val="0"/>
          <w:kern w:val="2"/>
          <w:sz w:val="32"/>
          <w:szCs w:val="32"/>
          <w:highlight w:val="none"/>
          <w:lang w:val="en-US" w:eastAsia="zh-CN" w:bidi="ar-SA"/>
        </w:rPr>
        <w:t>中标方式：</w:t>
      </w:r>
    </w:p>
    <w:p w14:paraId="68A21678">
      <w:pPr>
        <w:keepNext w:val="0"/>
        <w:keepLines w:val="0"/>
        <w:pageBreakBefore w:val="0"/>
        <w:widowControl/>
        <w:suppressLineNumbers w:val="0"/>
        <w:kinsoku/>
        <w:wordWrap/>
        <w:overflowPunct/>
        <w:topLinePunct w:val="0"/>
        <w:autoSpaceDE/>
        <w:autoSpaceDN/>
        <w:bidi w:val="0"/>
        <w:adjustRightInd w:val="0"/>
        <w:snapToGrid w:val="0"/>
        <w:spacing w:line="480" w:lineRule="exact"/>
        <w:ind w:firstLine="640" w:firstLineChars="200"/>
        <w:jc w:val="lef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1.本项目采用有效报价范围内的最高电价中选规则。</w:t>
      </w:r>
    </w:p>
    <w:p w14:paraId="159B53BB">
      <w:pPr>
        <w:keepNext w:val="0"/>
        <w:keepLines w:val="0"/>
        <w:pageBreakBefore w:val="0"/>
        <w:widowControl/>
        <w:suppressLineNumbers w:val="0"/>
        <w:kinsoku/>
        <w:wordWrap/>
        <w:overflowPunct/>
        <w:topLinePunct w:val="0"/>
        <w:autoSpaceDE/>
        <w:autoSpaceDN/>
        <w:bidi w:val="0"/>
        <w:adjustRightInd w:val="0"/>
        <w:snapToGrid w:val="0"/>
        <w:spacing w:line="480" w:lineRule="exact"/>
        <w:ind w:firstLine="640" w:firstLineChars="200"/>
        <w:jc w:val="lef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2.本项目设置有效报价区间：报价不得低于我院执行的实际非居民用电基准电价（填写：0.8元/度），不得高于当地电动自行车充电电价法定最高限价（填写：1.8元/度），超出该区间的报价直接判定为无效报价。</w:t>
      </w:r>
    </w:p>
    <w:p w14:paraId="709DFC35">
      <w:pPr>
        <w:keepNext w:val="0"/>
        <w:keepLines w:val="0"/>
        <w:pageBreakBefore w:val="0"/>
        <w:widowControl/>
        <w:kinsoku/>
        <w:wordWrap/>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3. 所有有效报价中，以服务商承诺向我院支付的充电桩用电结算单价作为唯一比选依据，单价最高者为最终中选单位；若出现最高报价相同的情况，通过抽签确定供应商。</w:t>
      </w:r>
    </w:p>
    <w:p w14:paraId="7C18F05E">
      <w:pPr>
        <w:pStyle w:val="2"/>
        <w:keepNext w:val="0"/>
        <w:keepLines w:val="0"/>
        <w:pageBreakBefore w:val="0"/>
        <w:widowControl/>
        <w:numPr>
          <w:ilvl w:val="0"/>
          <w:numId w:val="2"/>
        </w:numPr>
        <w:kinsoku/>
        <w:wordWrap/>
        <w:overflowPunct/>
        <w:topLinePunct w:val="0"/>
        <w:autoSpaceDE/>
        <w:autoSpaceDN/>
        <w:bidi w:val="0"/>
        <w:adjustRightInd w:val="0"/>
        <w:snapToGrid w:val="0"/>
        <w:spacing w:line="480" w:lineRule="exact"/>
        <w:ind w:left="0" w:leftChars="0" w:firstLine="420" w:firstLineChars="0"/>
        <w:textAlignment w:val="auto"/>
        <w:rPr>
          <w:rFonts w:hint="eastAsia" w:ascii="黑体" w:hAnsi="黑体" w:eastAsia="黑体" w:cs="黑体"/>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开标时间</w:t>
      </w:r>
    </w:p>
    <w:p w14:paraId="5C4F4CFE">
      <w:pPr>
        <w:pStyle w:val="2"/>
        <w:keepNext w:val="0"/>
        <w:keepLines w:val="0"/>
        <w:pageBreakBefore w:val="0"/>
        <w:widowControl/>
        <w:kinsoku/>
        <w:wordWrap/>
        <w:overflowPunct/>
        <w:topLinePunct w:val="0"/>
        <w:autoSpaceDE/>
        <w:autoSpaceDN/>
        <w:bidi w:val="0"/>
        <w:adjustRightInd w:val="0"/>
        <w:snapToGrid w:val="0"/>
        <w:spacing w:line="480" w:lineRule="exact"/>
        <w:ind w:left="0" w:leftChars="0"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拆标时间为报价截止时间的第二天（如休息日就顺延至工作日拆标），中标公司会在绍兴市第七人民医院网站进行公示。</w:t>
      </w:r>
    </w:p>
    <w:p w14:paraId="2431330D">
      <w:pPr>
        <w:pStyle w:val="4"/>
        <w:keepNext w:val="0"/>
        <w:keepLines w:val="0"/>
        <w:pageBreakBefore w:val="0"/>
        <w:widowControl/>
        <w:shd w:val="clear" w:color="auto" w:fill="FFFFFF"/>
        <w:kinsoku/>
        <w:wordWrap/>
        <w:overflowPunct/>
        <w:topLinePunct w:val="0"/>
        <w:autoSpaceDE/>
        <w:autoSpaceDN/>
        <w:bidi w:val="0"/>
        <w:adjustRightInd w:val="0"/>
        <w:snapToGrid w:val="0"/>
        <w:spacing w:before="30" w:beforeAutospacing="0" w:after="30" w:afterAutospacing="0" w:line="480" w:lineRule="exact"/>
        <w:ind w:right="30"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 xml:space="preserve">接收人：朱雪红 ，联系电话：85397933          </w:t>
      </w:r>
    </w:p>
    <w:p w14:paraId="7DDD5D53">
      <w:pPr>
        <w:pStyle w:val="4"/>
        <w:keepNext w:val="0"/>
        <w:keepLines w:val="0"/>
        <w:pageBreakBefore w:val="0"/>
        <w:widowControl/>
        <w:shd w:val="clear" w:color="auto" w:fill="FFFFFF"/>
        <w:kinsoku/>
        <w:wordWrap/>
        <w:overflowPunct/>
        <w:topLinePunct w:val="0"/>
        <w:autoSpaceDE/>
        <w:autoSpaceDN/>
        <w:bidi w:val="0"/>
        <w:adjustRightInd w:val="0"/>
        <w:snapToGrid w:val="0"/>
        <w:spacing w:before="30" w:beforeAutospacing="0" w:after="30" w:afterAutospacing="0" w:line="480" w:lineRule="exact"/>
        <w:ind w:right="30"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手机 ：13004619937</w:t>
      </w:r>
    </w:p>
    <w:p w14:paraId="3335A944">
      <w:pPr>
        <w:pStyle w:val="4"/>
        <w:keepNext w:val="0"/>
        <w:keepLines w:val="0"/>
        <w:pageBreakBefore w:val="0"/>
        <w:widowControl/>
        <w:shd w:val="clear" w:color="auto" w:fill="FFFFFF"/>
        <w:kinsoku/>
        <w:wordWrap/>
        <w:overflowPunct/>
        <w:topLinePunct w:val="0"/>
        <w:autoSpaceDE/>
        <w:autoSpaceDN/>
        <w:bidi w:val="0"/>
        <w:adjustRightInd w:val="0"/>
        <w:snapToGrid w:val="0"/>
        <w:spacing w:before="30" w:beforeAutospacing="0" w:after="30" w:afterAutospacing="0" w:line="480" w:lineRule="exact"/>
        <w:ind w:left="30" w:right="30" w:firstLine="640" w:firstLineChars="200"/>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八、信息发布网站</w:t>
      </w:r>
    </w:p>
    <w:p w14:paraId="67CA917C">
      <w:pPr>
        <w:pStyle w:val="4"/>
        <w:keepNext w:val="0"/>
        <w:keepLines w:val="0"/>
        <w:pageBreakBefore w:val="0"/>
        <w:widowControl/>
        <w:shd w:val="clear" w:color="auto" w:fill="FFFFFF"/>
        <w:kinsoku/>
        <w:wordWrap/>
        <w:overflowPunct/>
        <w:topLinePunct w:val="0"/>
        <w:autoSpaceDE/>
        <w:autoSpaceDN/>
        <w:bidi w:val="0"/>
        <w:adjustRightInd w:val="0"/>
        <w:snapToGrid w:val="0"/>
        <w:spacing w:before="30" w:beforeAutospacing="0" w:after="30" w:afterAutospacing="0" w:line="480" w:lineRule="exact"/>
        <w:ind w:left="30" w:right="30"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信息发布网站：</w:t>
      </w:r>
      <w:r>
        <w:rPr>
          <w:rFonts w:hint="eastAsia" w:ascii="仿宋_GB2312" w:hAnsi="仿宋_GB2312" w:eastAsia="仿宋_GB2312" w:cs="仿宋_GB2312"/>
          <w:kern w:val="2"/>
          <w:sz w:val="32"/>
          <w:szCs w:val="32"/>
          <w:highlight w:val="none"/>
          <w:lang w:val="en-US" w:eastAsia="zh-CN" w:bidi="ar-SA"/>
        </w:rPr>
        <w:fldChar w:fldCharType="begin"/>
      </w:r>
      <w:r>
        <w:rPr>
          <w:rFonts w:hint="eastAsia" w:ascii="仿宋_GB2312" w:hAnsi="仿宋_GB2312" w:eastAsia="仿宋_GB2312" w:cs="仿宋_GB2312"/>
          <w:kern w:val="2"/>
          <w:sz w:val="32"/>
          <w:szCs w:val="32"/>
          <w:highlight w:val="none"/>
          <w:lang w:val="en-US" w:eastAsia="zh-CN" w:bidi="ar-SA"/>
        </w:rPr>
        <w:instrText xml:space="preserve"> HYPERLINK "https://www.sxdqyy.com/" </w:instrText>
      </w:r>
      <w:r>
        <w:rPr>
          <w:rFonts w:hint="eastAsia" w:ascii="仿宋_GB2312" w:hAnsi="仿宋_GB2312" w:eastAsia="仿宋_GB2312" w:cs="仿宋_GB2312"/>
          <w:kern w:val="2"/>
          <w:sz w:val="32"/>
          <w:szCs w:val="32"/>
          <w:highlight w:val="none"/>
          <w:lang w:val="en-US" w:eastAsia="zh-CN" w:bidi="ar-SA"/>
        </w:rPr>
        <w:fldChar w:fldCharType="separate"/>
      </w:r>
      <w:r>
        <w:rPr>
          <w:rStyle w:val="8"/>
          <w:rFonts w:hint="eastAsia" w:ascii="仿宋_GB2312" w:hAnsi="仿宋_GB2312" w:eastAsia="仿宋_GB2312" w:cs="仿宋_GB2312"/>
          <w:kern w:val="2"/>
          <w:sz w:val="32"/>
          <w:szCs w:val="32"/>
          <w:highlight w:val="none"/>
          <w:lang w:val="en-US" w:eastAsia="zh-CN" w:bidi="ar-SA"/>
        </w:rPr>
        <w:t>https://www.sxdqyy.com/</w:t>
      </w:r>
      <w:r>
        <w:rPr>
          <w:rFonts w:hint="eastAsia" w:ascii="仿宋_GB2312" w:hAnsi="仿宋_GB2312" w:eastAsia="仿宋_GB2312" w:cs="仿宋_GB2312"/>
          <w:kern w:val="2"/>
          <w:sz w:val="32"/>
          <w:szCs w:val="32"/>
          <w:highlight w:val="none"/>
          <w:lang w:val="en-US" w:eastAsia="zh-CN" w:bidi="ar-SA"/>
        </w:rPr>
        <w:fldChar w:fldCharType="end"/>
      </w:r>
    </w:p>
    <w:p w14:paraId="6A6F7C7C">
      <w:pPr>
        <w:pStyle w:val="2"/>
        <w:keepNext w:val="0"/>
        <w:keepLines w:val="0"/>
        <w:pageBreakBefore w:val="0"/>
        <w:widowControl/>
        <w:kinsoku/>
        <w:wordWrap/>
        <w:overflowPunct/>
        <w:topLinePunct w:val="0"/>
        <w:autoSpaceDE/>
        <w:autoSpaceDN/>
        <w:bidi w:val="0"/>
        <w:adjustRightInd w:val="0"/>
        <w:snapToGrid w:val="0"/>
        <w:spacing w:line="240" w:lineRule="atLeast"/>
        <w:textAlignment w:val="auto"/>
        <w:rPr>
          <w:rFonts w:hint="eastAsia" w:ascii="仿宋_GB2312" w:hAnsi="仿宋_GB2312" w:eastAsia="仿宋_GB2312" w:cs="仿宋_GB2312"/>
          <w:sz w:val="32"/>
          <w:szCs w:val="32"/>
          <w:highlight w:val="none"/>
          <w:lang w:val="en-US" w:eastAsia="zh-CN"/>
        </w:rPr>
      </w:pPr>
    </w:p>
    <w:p w14:paraId="2BA9AD3C">
      <w:pPr>
        <w:pStyle w:val="2"/>
        <w:keepNext w:val="0"/>
        <w:keepLines w:val="0"/>
        <w:pageBreakBefore w:val="0"/>
        <w:widowControl/>
        <w:kinsoku/>
        <w:wordWrap/>
        <w:overflowPunct/>
        <w:topLinePunct w:val="0"/>
        <w:autoSpaceDE/>
        <w:autoSpaceDN/>
        <w:bidi w:val="0"/>
        <w:adjustRightInd w:val="0"/>
        <w:snapToGrid w:val="0"/>
        <w:spacing w:line="240" w:lineRule="atLeast"/>
        <w:textAlignment w:val="auto"/>
        <w:rPr>
          <w:rFonts w:hint="eastAsia" w:ascii="仿宋_GB2312" w:hAnsi="仿宋_GB2312" w:eastAsia="仿宋_GB2312" w:cs="仿宋_GB2312"/>
          <w:sz w:val="32"/>
          <w:szCs w:val="32"/>
          <w:highlight w:val="none"/>
        </w:rPr>
      </w:pPr>
    </w:p>
    <w:p w14:paraId="39249E19">
      <w:pPr>
        <w:pStyle w:val="4"/>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30" w:beforeAutospacing="0" w:after="30" w:afterAutospacing="0" w:line="240" w:lineRule="atLeast"/>
        <w:ind w:right="30" w:rightChars="0"/>
        <w:textAlignment w:val="auto"/>
        <w:rPr>
          <w:rFonts w:hint="eastAsia" w:ascii="仿宋_GB2312" w:hAnsi="仿宋_GB2312" w:eastAsia="仿宋_GB2312" w:cs="仿宋_GB2312"/>
          <w:sz w:val="32"/>
          <w:szCs w:val="32"/>
          <w:highlight w:val="none"/>
          <w:lang w:val="en-US" w:eastAsia="zh-CN"/>
        </w:rPr>
      </w:pPr>
    </w:p>
    <w:p w14:paraId="30C161E0">
      <w:pPr>
        <w:rPr>
          <w:rFonts w:hint="eastAsia" w:ascii="仿宋" w:hAnsi="仿宋" w:eastAsia="仿宋" w:cs="仿宋"/>
          <w:b/>
          <w:sz w:val="24"/>
          <w:highlight w:val="none"/>
        </w:rPr>
      </w:pPr>
      <w:r>
        <w:rPr>
          <w:rFonts w:hint="eastAsia" w:ascii="仿宋_GB2312" w:hAnsi="仿宋_GB2312" w:eastAsia="仿宋_GB2312" w:cs="仿宋_GB2312"/>
          <w:sz w:val="32"/>
          <w:szCs w:val="32"/>
          <w:highlight w:val="none"/>
        </w:rPr>
        <w:br w:type="page"/>
      </w:r>
      <w:r>
        <w:rPr>
          <w:rFonts w:hint="eastAsia" w:ascii="仿宋" w:hAnsi="仿宋" w:eastAsia="仿宋" w:cs="仿宋"/>
          <w:b/>
          <w:sz w:val="24"/>
          <w:highlight w:val="none"/>
        </w:rPr>
        <w:t>附件</w:t>
      </w:r>
      <w:r>
        <w:rPr>
          <w:rFonts w:hint="eastAsia" w:ascii="仿宋" w:hAnsi="仿宋" w:eastAsia="仿宋" w:cs="仿宋"/>
          <w:b/>
          <w:sz w:val="24"/>
          <w:highlight w:val="none"/>
          <w:lang w:val="en-US" w:eastAsia="zh-CN"/>
        </w:rPr>
        <w:t>1</w:t>
      </w:r>
      <w:r>
        <w:rPr>
          <w:rFonts w:hint="eastAsia" w:ascii="仿宋" w:hAnsi="仿宋" w:eastAsia="仿宋" w:cs="仿宋"/>
          <w:b/>
          <w:sz w:val="24"/>
          <w:highlight w:val="none"/>
        </w:rPr>
        <w:t>：</w:t>
      </w:r>
      <w:r>
        <w:rPr>
          <w:rFonts w:hint="eastAsia" w:ascii="仿宋" w:hAnsi="仿宋" w:eastAsia="仿宋" w:cs="仿宋"/>
          <w:b/>
          <w:sz w:val="24"/>
          <w:highlight w:val="none"/>
          <w:lang w:val="en-US" w:eastAsia="zh-CN"/>
        </w:rPr>
        <w:t>投标（</w:t>
      </w:r>
      <w:r>
        <w:rPr>
          <w:rFonts w:hint="eastAsia" w:ascii="仿宋" w:hAnsi="仿宋" w:eastAsia="仿宋" w:cs="仿宋"/>
          <w:b/>
          <w:sz w:val="24"/>
          <w:highlight w:val="none"/>
        </w:rPr>
        <w:t>开标</w:t>
      </w:r>
      <w:r>
        <w:rPr>
          <w:rFonts w:hint="eastAsia" w:ascii="仿宋" w:hAnsi="仿宋" w:eastAsia="仿宋" w:cs="仿宋"/>
          <w:b/>
          <w:sz w:val="24"/>
          <w:highlight w:val="none"/>
          <w:lang w:eastAsia="zh-CN"/>
        </w:rPr>
        <w:t>）</w:t>
      </w:r>
      <w:r>
        <w:rPr>
          <w:rFonts w:hint="eastAsia" w:ascii="仿宋" w:hAnsi="仿宋" w:eastAsia="仿宋" w:cs="仿宋"/>
          <w:b/>
          <w:sz w:val="24"/>
          <w:highlight w:val="none"/>
        </w:rPr>
        <w:t>一览表（格式，放入“</w:t>
      </w:r>
      <w:r>
        <w:rPr>
          <w:rFonts w:hint="eastAsia" w:ascii="仿宋" w:hAnsi="仿宋" w:eastAsia="仿宋" w:cs="仿宋"/>
          <w:b/>
          <w:sz w:val="24"/>
          <w:highlight w:val="none"/>
          <w:lang w:val="en-US" w:eastAsia="zh-CN"/>
        </w:rPr>
        <w:t>价格</w:t>
      </w:r>
      <w:r>
        <w:rPr>
          <w:rFonts w:hint="eastAsia" w:ascii="仿宋" w:hAnsi="仿宋" w:eastAsia="仿宋" w:cs="仿宋"/>
          <w:b/>
          <w:sz w:val="24"/>
          <w:highlight w:val="none"/>
        </w:rPr>
        <w:t>资料部分”）</w:t>
      </w:r>
    </w:p>
    <w:p w14:paraId="596F90B9">
      <w:pPr>
        <w:pStyle w:val="4"/>
        <w:widowControl/>
        <w:shd w:val="clear" w:color="auto" w:fill="FFFFFF"/>
        <w:spacing w:before="30" w:beforeAutospacing="0" w:after="30" w:afterAutospacing="0" w:line="420" w:lineRule="atLeast"/>
        <w:ind w:left="30" w:right="30"/>
        <w:rPr>
          <w:rFonts w:hint="eastAsia" w:ascii="宋体" w:hAnsi="宋体" w:eastAsia="宋体" w:cs="宋体"/>
          <w:sz w:val="24"/>
          <w:szCs w:val="24"/>
          <w:highlight w:val="none"/>
          <w:lang w:val="en-US" w:eastAsia="zh-CN"/>
        </w:rPr>
      </w:pPr>
    </w:p>
    <w:p w14:paraId="32C8D32B">
      <w:pPr>
        <w:pStyle w:val="4"/>
        <w:widowControl/>
        <w:shd w:val="clear" w:color="auto" w:fill="FFFFFF"/>
        <w:spacing w:before="30" w:beforeAutospacing="0" w:after="30" w:afterAutospacing="0" w:line="420" w:lineRule="atLeast"/>
        <w:ind w:left="30" w:right="30"/>
        <w:rPr>
          <w:rFonts w:hint="eastAsia" w:ascii="宋体" w:hAnsi="宋体" w:eastAsia="宋体" w:cs="宋体"/>
          <w:sz w:val="24"/>
          <w:szCs w:val="24"/>
          <w:highlight w:val="none"/>
          <w:lang w:val="en-US" w:eastAsia="zh-CN"/>
        </w:rPr>
      </w:pPr>
    </w:p>
    <w:p w14:paraId="056D2AE5">
      <w:pPr>
        <w:spacing w:line="400" w:lineRule="exact"/>
        <w:rPr>
          <w:rFonts w:hint="eastAsia" w:ascii="仿宋" w:hAnsi="仿宋" w:eastAsia="仿宋" w:cs="仿宋"/>
          <w:sz w:val="24"/>
          <w:highlight w:val="none"/>
        </w:rPr>
      </w:pPr>
      <w:r>
        <w:rPr>
          <w:rFonts w:hint="eastAsia" w:ascii="仿宋" w:hAnsi="仿宋" w:eastAsia="仿宋" w:cs="仿宋"/>
          <w:sz w:val="24"/>
          <w:highlight w:val="none"/>
          <w:lang w:eastAsia="zh-CN"/>
        </w:rPr>
        <w:t>公司</w:t>
      </w:r>
      <w:r>
        <w:rPr>
          <w:rFonts w:hint="eastAsia" w:ascii="仿宋" w:hAnsi="仿宋" w:eastAsia="仿宋" w:cs="仿宋"/>
          <w:sz w:val="24"/>
          <w:highlight w:val="none"/>
        </w:rPr>
        <w:t>名称：</w:t>
      </w:r>
      <w:r>
        <w:rPr>
          <w:rFonts w:hint="eastAsia" w:ascii="仿宋" w:hAnsi="仿宋" w:eastAsia="仿宋" w:cs="仿宋"/>
          <w:sz w:val="24"/>
          <w:highlight w:val="none"/>
          <w:u w:val="single"/>
        </w:rPr>
        <w:t xml:space="preserve">                                    </w:t>
      </w:r>
    </w:p>
    <w:p w14:paraId="586AF6A2">
      <w:pPr>
        <w:pStyle w:val="4"/>
        <w:widowControl/>
        <w:shd w:val="clear" w:color="auto" w:fill="FFFFFF"/>
        <w:spacing w:before="30" w:beforeAutospacing="0" w:after="30" w:afterAutospacing="0" w:line="420" w:lineRule="atLeast"/>
        <w:ind w:left="30" w:right="30"/>
        <w:rPr>
          <w:rFonts w:hint="eastAsia" w:ascii="宋体" w:hAnsi="宋体" w:eastAsia="宋体" w:cs="宋体"/>
          <w:sz w:val="24"/>
          <w:szCs w:val="24"/>
          <w:highlight w:val="none"/>
          <w:lang w:val="en-US" w:eastAsia="zh-CN"/>
        </w:rPr>
      </w:pPr>
    </w:p>
    <w:tbl>
      <w:tblPr>
        <w:tblStyle w:val="6"/>
        <w:tblpPr w:leftFromText="180" w:rightFromText="180" w:vertAnchor="text" w:horzAnchor="page" w:tblpX="1800" w:tblpY="29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8"/>
        <w:gridCol w:w="5271"/>
      </w:tblGrid>
      <w:tr w14:paraId="54D40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2468" w:type="dxa"/>
          </w:tcPr>
          <w:p w14:paraId="2561AF2B">
            <w:pPr>
              <w:pStyle w:val="4"/>
              <w:widowControl/>
              <w:spacing w:before="30" w:beforeAutospacing="0" w:after="30" w:afterAutospacing="0" w:line="420" w:lineRule="atLeast"/>
              <w:ind w:right="30"/>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序号</w:t>
            </w:r>
          </w:p>
        </w:tc>
        <w:tc>
          <w:tcPr>
            <w:tcW w:w="5271" w:type="dxa"/>
          </w:tcPr>
          <w:p w14:paraId="27E43C53">
            <w:pPr>
              <w:pStyle w:val="4"/>
              <w:widowControl/>
              <w:spacing w:before="30" w:beforeAutospacing="0" w:after="30" w:afterAutospacing="0" w:line="420" w:lineRule="atLeast"/>
              <w:ind w:right="30"/>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电费（）元/度</w:t>
            </w:r>
          </w:p>
        </w:tc>
      </w:tr>
      <w:tr w14:paraId="46C2A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2468" w:type="dxa"/>
          </w:tcPr>
          <w:p w14:paraId="6E41C41F">
            <w:pPr>
              <w:pStyle w:val="4"/>
              <w:widowControl/>
              <w:spacing w:before="30" w:beforeAutospacing="0" w:after="30" w:afterAutospacing="0" w:line="420" w:lineRule="atLeast"/>
              <w:ind w:right="30"/>
              <w:jc w:val="center"/>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w:t>
            </w:r>
          </w:p>
        </w:tc>
        <w:tc>
          <w:tcPr>
            <w:tcW w:w="5271" w:type="dxa"/>
          </w:tcPr>
          <w:p w14:paraId="7F037992">
            <w:pPr>
              <w:pStyle w:val="4"/>
              <w:widowControl/>
              <w:spacing w:before="30" w:beforeAutospacing="0" w:after="30" w:afterAutospacing="0" w:line="420" w:lineRule="atLeast"/>
              <w:ind w:right="30"/>
              <w:rPr>
                <w:rFonts w:hint="eastAsia" w:ascii="宋体" w:hAnsi="宋体" w:eastAsia="宋体" w:cs="宋体"/>
                <w:sz w:val="24"/>
                <w:szCs w:val="24"/>
                <w:highlight w:val="none"/>
                <w:vertAlign w:val="baseline"/>
                <w:lang w:val="en-US" w:eastAsia="zh-CN"/>
              </w:rPr>
            </w:pPr>
          </w:p>
        </w:tc>
      </w:tr>
    </w:tbl>
    <w:p w14:paraId="4CF682AB">
      <w:pPr>
        <w:pStyle w:val="4"/>
        <w:widowControl/>
        <w:shd w:val="clear" w:color="auto" w:fill="FFFFFF"/>
        <w:spacing w:before="30" w:beforeAutospacing="0" w:after="30" w:afterAutospacing="0" w:line="420" w:lineRule="atLeast"/>
        <w:ind w:left="30" w:right="30"/>
        <w:rPr>
          <w:rFonts w:hint="eastAsia" w:ascii="宋体" w:hAnsi="宋体" w:eastAsia="宋体" w:cs="宋体"/>
          <w:sz w:val="24"/>
          <w:szCs w:val="24"/>
          <w:highlight w:val="none"/>
          <w:lang w:val="en-US" w:eastAsia="zh-CN"/>
        </w:rPr>
      </w:pPr>
    </w:p>
    <w:p w14:paraId="0F7AF536">
      <w:pPr>
        <w:pStyle w:val="4"/>
        <w:widowControl/>
        <w:shd w:val="clear" w:color="auto" w:fill="FFFFFF"/>
        <w:spacing w:before="30" w:beforeAutospacing="0" w:after="30" w:afterAutospacing="0" w:line="420" w:lineRule="atLeast"/>
        <w:ind w:left="30" w:right="30"/>
        <w:rPr>
          <w:rFonts w:hint="eastAsia" w:ascii="宋体" w:hAnsi="宋体" w:eastAsia="宋体" w:cs="宋体"/>
          <w:sz w:val="24"/>
          <w:szCs w:val="24"/>
          <w:highlight w:val="none"/>
          <w:lang w:val="en-US" w:eastAsia="zh-CN"/>
        </w:rPr>
      </w:pPr>
    </w:p>
    <w:p w14:paraId="4EFF35C8">
      <w:pPr>
        <w:snapToGrid w:val="0"/>
        <w:spacing w:line="440" w:lineRule="exact"/>
        <w:jc w:val="left"/>
        <w:rPr>
          <w:rFonts w:hint="eastAsia" w:ascii="仿宋" w:hAnsi="仿宋" w:eastAsia="仿宋" w:cs="仿宋"/>
          <w:sz w:val="24"/>
          <w:highlight w:val="none"/>
        </w:rPr>
      </w:pPr>
    </w:p>
    <w:p w14:paraId="645C6DFA">
      <w:pPr>
        <w:snapToGrid w:val="0"/>
        <w:spacing w:line="440" w:lineRule="exact"/>
        <w:jc w:val="left"/>
        <w:rPr>
          <w:rFonts w:hint="eastAsia" w:ascii="仿宋" w:hAnsi="仿宋" w:eastAsia="仿宋" w:cs="仿宋"/>
          <w:sz w:val="24"/>
          <w:highlight w:val="none"/>
        </w:rPr>
      </w:pPr>
      <w:r>
        <w:rPr>
          <w:rFonts w:hint="eastAsia" w:ascii="仿宋" w:hAnsi="仿宋" w:eastAsia="仿宋" w:cs="仿宋"/>
          <w:sz w:val="24"/>
          <w:highlight w:val="none"/>
        </w:rPr>
        <w:t>注: 1.报价一经涂改，应在涂改处加盖单位公章或者由法定代表人或其授权代表签字或盖章，否则其投标作无效投标处理。</w:t>
      </w:r>
    </w:p>
    <w:p w14:paraId="3C640DDA">
      <w:pPr>
        <w:snapToGrid w:val="0"/>
        <w:spacing w:line="440" w:lineRule="exact"/>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2.招标人不接受某一标项中有2个(含)以上的报价或方案，若供应商在此表中有2个（含）以上的报价或方案，其投标作无效投标处理。</w:t>
      </w:r>
    </w:p>
    <w:p w14:paraId="3834C7C1">
      <w:pPr>
        <w:spacing w:line="360" w:lineRule="auto"/>
        <w:ind w:left="-2" w:leftChars="-1" w:firstLine="480" w:firstLineChars="200"/>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3.供应商需按本表格式填写，不得自行更改。</w:t>
      </w:r>
    </w:p>
    <w:p w14:paraId="58FA272C">
      <w:pPr>
        <w:pStyle w:val="2"/>
        <w:ind w:left="0" w:leftChars="0" w:firstLine="0" w:firstLineChars="0"/>
        <w:rPr>
          <w:rFonts w:hint="eastAsia" w:ascii="仿宋" w:hAnsi="仿宋" w:eastAsia="仿宋" w:cs="仿宋"/>
          <w:sz w:val="24"/>
          <w:highlight w:val="none"/>
        </w:rPr>
      </w:pPr>
    </w:p>
    <w:p w14:paraId="6EB1327B">
      <w:pPr>
        <w:pStyle w:val="2"/>
        <w:rPr>
          <w:rFonts w:hint="eastAsia" w:ascii="仿宋" w:hAnsi="仿宋" w:eastAsia="仿宋" w:cs="仿宋"/>
          <w:sz w:val="24"/>
          <w:highlight w:val="none"/>
        </w:rPr>
      </w:pPr>
    </w:p>
    <w:p w14:paraId="182AA722">
      <w:pPr>
        <w:spacing w:line="360" w:lineRule="auto"/>
        <w:ind w:left="-2" w:leftChars="-1" w:right="-856" w:rightChars="-389"/>
        <w:rPr>
          <w:rFonts w:hint="eastAsia"/>
          <w:highlight w:val="none"/>
        </w:rPr>
      </w:pPr>
      <w:r>
        <w:rPr>
          <w:rFonts w:hint="eastAsia" w:ascii="仿宋" w:hAnsi="仿宋" w:eastAsia="仿宋" w:cs="仿宋"/>
          <w:sz w:val="24"/>
          <w:highlight w:val="none"/>
        </w:rPr>
        <w:t>供应商名称（盖章）：</w:t>
      </w:r>
    </w:p>
    <w:p w14:paraId="59FCA26C">
      <w:pPr>
        <w:rPr>
          <w:rFonts w:hint="eastAsia"/>
          <w:highlight w:val="none"/>
        </w:rPr>
      </w:pPr>
      <w:r>
        <w:rPr>
          <w:rFonts w:hint="eastAsia" w:ascii="仿宋" w:hAnsi="仿宋" w:eastAsia="仿宋" w:cs="仿宋"/>
          <w:sz w:val="24"/>
          <w:highlight w:val="none"/>
        </w:rPr>
        <w:t xml:space="preserve">法定代表人或其授权代表（签字或盖章）：            </w:t>
      </w:r>
    </w:p>
    <w:p w14:paraId="770BCE54">
      <w:pPr>
        <w:pStyle w:val="2"/>
        <w:ind w:left="0" w:leftChars="0" w:firstLine="0" w:firstLineChars="0"/>
        <w:rPr>
          <w:rFonts w:hint="eastAsia" w:ascii="仿宋" w:hAnsi="仿宋" w:eastAsia="仿宋" w:cs="仿宋"/>
          <w:sz w:val="24"/>
          <w:highlight w:val="none"/>
          <w:lang w:eastAsia="zh-CN"/>
        </w:rPr>
      </w:pPr>
      <w:r>
        <w:rPr>
          <w:rFonts w:hint="eastAsia" w:ascii="仿宋" w:hAnsi="仿宋" w:eastAsia="仿宋" w:cs="仿宋"/>
          <w:sz w:val="24"/>
          <w:highlight w:val="none"/>
        </w:rPr>
        <w:t>法定代表人或其授权代表</w:t>
      </w:r>
      <w:r>
        <w:rPr>
          <w:rFonts w:hint="eastAsia" w:ascii="仿宋" w:hAnsi="仿宋" w:eastAsia="仿宋" w:cs="仿宋"/>
          <w:sz w:val="24"/>
          <w:highlight w:val="none"/>
          <w:lang w:eastAsia="zh-CN"/>
        </w:rPr>
        <w:t>联系方式：</w:t>
      </w:r>
    </w:p>
    <w:p w14:paraId="6C4433D3">
      <w:pPr>
        <w:pStyle w:val="2"/>
        <w:ind w:left="0" w:leftChars="0" w:firstLine="0" w:firstLineChars="0"/>
        <w:rPr>
          <w:rFonts w:hint="eastAsia" w:ascii="仿宋" w:hAnsi="仿宋" w:eastAsia="仿宋" w:cs="仿宋"/>
          <w:sz w:val="24"/>
          <w:highlight w:val="none"/>
          <w:lang w:eastAsia="zh-CN"/>
        </w:rPr>
      </w:pPr>
    </w:p>
    <w:p w14:paraId="57E58333">
      <w:pPr>
        <w:pStyle w:val="4"/>
        <w:widowControl/>
        <w:shd w:val="clear" w:color="auto" w:fill="FFFFFF"/>
        <w:spacing w:before="30" w:beforeAutospacing="0" w:after="30" w:afterAutospacing="0" w:line="420" w:lineRule="atLeast"/>
        <w:ind w:left="30" w:right="30"/>
        <w:jc w:val="right"/>
        <w:rPr>
          <w:rFonts w:hint="eastAsia" w:ascii="宋体" w:hAnsi="宋体" w:eastAsia="宋体" w:cs="宋体"/>
          <w:sz w:val="24"/>
          <w:szCs w:val="24"/>
          <w:highlight w:val="none"/>
          <w:lang w:val="en-US" w:eastAsia="zh-CN"/>
        </w:rPr>
      </w:pPr>
      <w:r>
        <w:rPr>
          <w:rFonts w:hint="eastAsia" w:ascii="仿宋" w:hAnsi="仿宋" w:eastAsia="仿宋" w:cs="仿宋"/>
          <w:sz w:val="24"/>
          <w:highlight w:val="none"/>
        </w:rPr>
        <w:t>日期：    年   月   日</w:t>
      </w:r>
    </w:p>
    <w:p w14:paraId="081E2862">
      <w:pPr>
        <w:pStyle w:val="2"/>
        <w:rPr>
          <w:rFonts w:hint="eastAsia"/>
          <w:highlight w:val="none"/>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C2E7CD"/>
    <w:multiLevelType w:val="singleLevel"/>
    <w:tmpl w:val="BCC2E7CD"/>
    <w:lvl w:ilvl="0" w:tentative="0">
      <w:start w:val="1"/>
      <w:numFmt w:val="chineseCounting"/>
      <w:suff w:val="nothing"/>
      <w:lvlText w:val="%1、"/>
      <w:lvlJc w:val="left"/>
      <w:pPr>
        <w:ind w:left="0" w:firstLine="420"/>
      </w:pPr>
      <w:rPr>
        <w:rFonts w:hint="eastAsia" w:ascii="黑体" w:hAnsi="黑体" w:eastAsia="黑体" w:cs="黑体"/>
        <w:b w:val="0"/>
        <w:bCs w:val="0"/>
      </w:rPr>
    </w:lvl>
  </w:abstractNum>
  <w:abstractNum w:abstractNumId="1">
    <w:nsid w:val="5CB017FC"/>
    <w:multiLevelType w:val="multilevel"/>
    <w:tmpl w:val="5CB017FC"/>
    <w:lvl w:ilvl="0" w:tentative="0">
      <w:start w:val="1"/>
      <w:numFmt w:val="decimal"/>
      <w:pStyle w:val="3"/>
      <w:suff w:val="space"/>
      <w:lvlText w:val="第 %1 章"/>
      <w:lvlJc w:val="left"/>
      <w:pPr>
        <w:ind w:left="425" w:hanging="425"/>
      </w:pPr>
      <w:rPr>
        <w:rFonts w:hint="eastAsia"/>
      </w:rPr>
    </w:lvl>
    <w:lvl w:ilvl="1" w:tentative="0">
      <w:start w:val="1"/>
      <w:numFmt w:val="decimal"/>
      <w:lvlText w:val="%1.%2 "/>
      <w:lvlJc w:val="left"/>
      <w:pPr>
        <w:tabs>
          <w:tab w:val="left" w:pos="1145"/>
        </w:tabs>
        <w:ind w:left="992" w:hanging="567"/>
      </w:pPr>
      <w:rPr>
        <w:rFonts w:hint="eastAsia"/>
      </w:rPr>
    </w:lvl>
    <w:lvl w:ilvl="2" w:tentative="0">
      <w:start w:val="1"/>
      <w:numFmt w:val="decimal"/>
      <w:lvlText w:val="〔%3〕、"/>
      <w:lvlJc w:val="left"/>
      <w:pPr>
        <w:tabs>
          <w:tab w:val="left" w:pos="2651"/>
        </w:tabs>
        <w:ind w:left="1418" w:hanging="567"/>
      </w:pPr>
      <w:rPr>
        <w:rFonts w:hint="eastAsia"/>
      </w:rPr>
    </w:lvl>
    <w:lvl w:ilvl="3" w:tentative="0">
      <w:start w:val="1"/>
      <w:numFmt w:val="none"/>
      <w:lvlText w:val=""/>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4169DA"/>
    <w:rsid w:val="036047F0"/>
    <w:rsid w:val="182921CA"/>
    <w:rsid w:val="322B3AB7"/>
    <w:rsid w:val="474169DA"/>
    <w:rsid w:val="476A0F45"/>
    <w:rsid w:val="62DF5A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3">
    <w:name w:val="heading 1"/>
    <w:basedOn w:val="1"/>
    <w:next w:val="1"/>
    <w:qFormat/>
    <w:uiPriority w:val="0"/>
    <w:pPr>
      <w:keepNext/>
      <w:keepLines/>
      <w:numPr>
        <w:ilvl w:val="0"/>
        <w:numId w:val="1"/>
      </w:numPr>
      <w:spacing w:before="340" w:after="330" w:line="578" w:lineRule="auto"/>
      <w:outlineLvl w:val="0"/>
    </w:pPr>
    <w:rPr>
      <w:rFonts w:eastAsia="仿宋_GB2312"/>
      <w:b/>
      <w:kern w:val="44"/>
      <w:sz w:val="44"/>
      <w:szCs w:val="20"/>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首行缩进"/>
    <w:basedOn w:val="1"/>
    <w:qFormat/>
    <w:uiPriority w:val="0"/>
    <w:pPr>
      <w:spacing w:line="360" w:lineRule="auto"/>
      <w:ind w:firstLine="480" w:firstLineChars="200"/>
    </w:pPr>
    <w:rPr>
      <w:rFonts w:ascii="宋体" w:hAnsi="宋体" w:cs="宋体"/>
      <w:kern w:val="0"/>
      <w:sz w:val="24"/>
    </w:rPr>
  </w:style>
  <w:style w:type="paragraph" w:styleId="4">
    <w:name w:val="Normal (Web)"/>
    <w:basedOn w:val="1"/>
    <w:qFormat/>
    <w:uiPriority w:val="99"/>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1199</Words>
  <Characters>1294</Characters>
  <Lines>0</Lines>
  <Paragraphs>0</Paragraphs>
  <TotalTime>6</TotalTime>
  <ScaleCrop>false</ScaleCrop>
  <LinksUpToDate>false</LinksUpToDate>
  <CharactersWithSpaces>1374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2026-07-14T02:31:00Z</dcterms:created>
  <dc:creator>月光宝盒</dc:creator>
  <cp:lastModifiedBy>月光宝盒</cp:lastModifiedBy>
  <dcterms:modified xsi:type="dcterms:W3CDTF">2026-07-21T01:06:07Z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1797DF30A4D340C8AA1A16D39BBFBB45_11</vt:lpwstr>
  </property>
  <property fmtid="{D5CDD505-2E9C-101B-9397-08002B2CF9AE}" pid="4" name="KSOTemplateDocerSaveRecord">
    <vt:lpwstr>eyJoZGlkIjoiMDg2OTgzNGM3MWZhOWIwMGU4Yjg1YTU2YWJlNjRiMjAiLCJ1c2VySWQiOiI0NjExODkzNzgifQ==</vt:lpwstr>
  </property>
</Properties>
</file>