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CC9C97">
      <w:pPr>
        <w:jc w:val="center"/>
        <w:rPr>
          <w:rFonts w:hint="eastAsia" w:ascii="宋体" w:hAnsi="宋体" w:cs="Times New Roman"/>
          <w:b/>
          <w:color w:val="auto"/>
          <w:sz w:val="48"/>
          <w:szCs w:val="48"/>
          <w:highlight w:val="none"/>
          <w:lang w:eastAsia="zh-CN"/>
        </w:rPr>
      </w:pPr>
      <w:bookmarkStart w:id="75" w:name="_GoBack"/>
    </w:p>
    <w:p w14:paraId="464D923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Times New Roman"/>
          <w:b/>
          <w:color w:val="auto"/>
          <w:sz w:val="44"/>
          <w:szCs w:val="44"/>
          <w:highlight w:val="none"/>
          <w:u w:val="none"/>
          <w:lang w:eastAsia="zh-CN"/>
        </w:rPr>
      </w:pPr>
      <w:r>
        <w:rPr>
          <w:rFonts w:hint="eastAsia" w:ascii="宋体" w:hAnsi="宋体" w:cs="Times New Roman"/>
          <w:b/>
          <w:color w:val="auto"/>
          <w:sz w:val="48"/>
          <w:szCs w:val="48"/>
          <w:highlight w:val="none"/>
          <w:u w:val="none"/>
          <w:lang w:val="en-US" w:eastAsia="zh-CN"/>
        </w:rPr>
        <w:t>绍兴市第七人民医院新院区建设工程室内分布系统项目</w:t>
      </w:r>
    </w:p>
    <w:p w14:paraId="334A91EA">
      <w:pPr>
        <w:rPr>
          <w:color w:val="auto"/>
          <w:highlight w:val="none"/>
        </w:rPr>
      </w:pPr>
    </w:p>
    <w:p w14:paraId="4AFF61CE">
      <w:pPr>
        <w:pStyle w:val="8"/>
        <w:rPr>
          <w:color w:val="auto"/>
          <w:highlight w:val="none"/>
        </w:rPr>
      </w:pPr>
    </w:p>
    <w:p w14:paraId="7BCCAC3B">
      <w:pPr>
        <w:spacing w:line="1760" w:lineRule="exact"/>
        <w:jc w:val="center"/>
        <w:rPr>
          <w:rFonts w:hint="eastAsia" w:ascii="宋体" w:hAnsi="宋体" w:eastAsia="宋体" w:cs="Times New Roman"/>
          <w:color w:val="auto"/>
          <w:sz w:val="84"/>
          <w:szCs w:val="84"/>
          <w:highlight w:val="none"/>
          <w:lang w:val="en-US" w:eastAsia="zh-CN"/>
        </w:rPr>
      </w:pPr>
      <w:r>
        <w:rPr>
          <w:rFonts w:hint="eastAsia" w:ascii="宋体" w:hAnsi="宋体" w:cs="Times New Roman"/>
          <w:color w:val="auto"/>
          <w:sz w:val="84"/>
          <w:szCs w:val="84"/>
          <w:highlight w:val="none"/>
        </w:rPr>
        <w:t>招</w:t>
      </w:r>
    </w:p>
    <w:p w14:paraId="45FFD4F3">
      <w:pPr>
        <w:spacing w:line="1760" w:lineRule="exact"/>
        <w:jc w:val="center"/>
        <w:rPr>
          <w:rFonts w:ascii="宋体" w:hAnsi="宋体" w:cs="Times New Roman"/>
          <w:color w:val="auto"/>
          <w:sz w:val="84"/>
          <w:szCs w:val="84"/>
          <w:highlight w:val="none"/>
        </w:rPr>
      </w:pPr>
      <w:r>
        <w:rPr>
          <w:rFonts w:hint="eastAsia" w:ascii="宋体" w:hAnsi="宋体" w:cs="Times New Roman"/>
          <w:color w:val="auto"/>
          <w:sz w:val="84"/>
          <w:szCs w:val="84"/>
          <w:highlight w:val="none"/>
        </w:rPr>
        <w:t>标</w:t>
      </w:r>
    </w:p>
    <w:p w14:paraId="4A0DA51C">
      <w:pPr>
        <w:spacing w:line="1760" w:lineRule="exact"/>
        <w:jc w:val="center"/>
        <w:rPr>
          <w:rFonts w:ascii="宋体" w:hAnsi="宋体" w:cs="Times New Roman"/>
          <w:color w:val="auto"/>
          <w:sz w:val="84"/>
          <w:szCs w:val="84"/>
          <w:highlight w:val="none"/>
        </w:rPr>
      </w:pPr>
      <w:r>
        <w:rPr>
          <w:rFonts w:hint="eastAsia" w:ascii="宋体" w:hAnsi="宋体" w:cs="Times New Roman"/>
          <w:color w:val="auto"/>
          <w:sz w:val="84"/>
          <w:szCs w:val="84"/>
          <w:highlight w:val="none"/>
        </w:rPr>
        <w:t>文</w:t>
      </w:r>
    </w:p>
    <w:p w14:paraId="74E4FBCD">
      <w:pPr>
        <w:spacing w:line="1760" w:lineRule="exact"/>
        <w:jc w:val="center"/>
        <w:rPr>
          <w:rFonts w:ascii="宋体" w:hAnsi="宋体" w:cs="Times New Roman"/>
          <w:color w:val="auto"/>
          <w:sz w:val="84"/>
          <w:szCs w:val="84"/>
          <w:highlight w:val="none"/>
        </w:rPr>
      </w:pPr>
      <w:r>
        <w:rPr>
          <w:rFonts w:hint="eastAsia" w:ascii="宋体" w:hAnsi="宋体" w:cs="Times New Roman"/>
          <w:color w:val="auto"/>
          <w:sz w:val="84"/>
          <w:szCs w:val="84"/>
          <w:highlight w:val="none"/>
        </w:rPr>
        <w:t>件</w:t>
      </w:r>
    </w:p>
    <w:p w14:paraId="47C436BD">
      <w:pPr>
        <w:rPr>
          <w:rFonts w:ascii="宋体" w:hAnsi="宋体" w:cs="Times New Roman"/>
          <w:color w:val="auto"/>
          <w:sz w:val="36"/>
          <w:szCs w:val="24"/>
          <w:highlight w:val="none"/>
        </w:rPr>
      </w:pPr>
    </w:p>
    <w:p w14:paraId="65D8BC51">
      <w:pPr>
        <w:pStyle w:val="5"/>
        <w:ind w:left="0" w:leftChars="0" w:firstLine="0" w:firstLineChars="0"/>
        <w:rPr>
          <w:color w:val="auto"/>
          <w:highlight w:val="none"/>
        </w:rPr>
      </w:pPr>
    </w:p>
    <w:p w14:paraId="1D8969BC">
      <w:pPr>
        <w:pStyle w:val="5"/>
        <w:ind w:firstLine="0" w:firstLineChars="0"/>
        <w:rPr>
          <w:color w:val="auto"/>
          <w:highlight w:val="none"/>
        </w:rPr>
      </w:pPr>
    </w:p>
    <w:p w14:paraId="3982F29F">
      <w:pPr>
        <w:pStyle w:val="5"/>
        <w:ind w:left="0" w:leftChars="0" w:firstLine="0" w:firstLineChars="0"/>
        <w:rPr>
          <w:color w:val="auto"/>
          <w:highlight w:val="none"/>
        </w:rPr>
      </w:pPr>
    </w:p>
    <w:p w14:paraId="7A8B1481">
      <w:pPr>
        <w:keepNext w:val="0"/>
        <w:keepLines w:val="0"/>
        <w:pageBreakBefore w:val="0"/>
        <w:widowControl w:val="0"/>
        <w:kinsoku/>
        <w:wordWrap/>
        <w:overflowPunct/>
        <w:topLinePunct w:val="0"/>
        <w:autoSpaceDE/>
        <w:autoSpaceDN/>
        <w:bidi w:val="0"/>
        <w:adjustRightInd/>
        <w:snapToGrid/>
        <w:spacing w:line="360" w:lineRule="auto"/>
        <w:ind w:firstLine="960" w:firstLineChars="300"/>
        <w:jc w:val="left"/>
        <w:textAlignment w:val="auto"/>
        <w:rPr>
          <w:rFonts w:hint="default" w:ascii="宋体" w:hAnsi="宋体" w:eastAsia="宋体" w:cs="宋体"/>
          <w:b w:val="0"/>
          <w:bCs/>
          <w:color w:val="auto"/>
          <w:sz w:val="32"/>
          <w:szCs w:val="32"/>
          <w:highlight w:val="none"/>
          <w:u w:val="single"/>
          <w:lang w:val="en-US" w:eastAsia="zh-CN"/>
        </w:rPr>
      </w:pPr>
      <w:r>
        <w:rPr>
          <w:rFonts w:hint="eastAsia" w:ascii="宋体" w:hAnsi="宋体" w:cs="宋体"/>
          <w:b w:val="0"/>
          <w:bCs/>
          <w:color w:val="auto"/>
          <w:sz w:val="32"/>
          <w:szCs w:val="32"/>
          <w:highlight w:val="none"/>
        </w:rPr>
        <w:t>招标人：</w:t>
      </w:r>
      <w:r>
        <w:rPr>
          <w:rFonts w:hint="eastAsia" w:ascii="宋体" w:hAnsi="宋体" w:cs="宋体"/>
          <w:b w:val="0"/>
          <w:bCs/>
          <w:color w:val="auto"/>
          <w:sz w:val="32"/>
          <w:szCs w:val="32"/>
          <w:highlight w:val="none"/>
          <w:u w:val="single"/>
          <w:lang w:val="en-US" w:eastAsia="zh-CN"/>
        </w:rPr>
        <w:t>绍兴市第七人民医院</w:t>
      </w:r>
      <w:r>
        <w:rPr>
          <w:rFonts w:hint="eastAsia" w:ascii="宋体" w:hAnsi="宋体"/>
          <w:color w:val="auto"/>
          <w:sz w:val="32"/>
          <w:szCs w:val="32"/>
          <w:highlight w:val="none"/>
        </w:rPr>
        <w:t>（盖章）</w:t>
      </w:r>
    </w:p>
    <w:p w14:paraId="6FF732B3">
      <w:pPr>
        <w:keepNext w:val="0"/>
        <w:keepLines w:val="0"/>
        <w:pageBreakBefore w:val="0"/>
        <w:widowControl w:val="0"/>
        <w:kinsoku/>
        <w:wordWrap/>
        <w:overflowPunct/>
        <w:topLinePunct w:val="0"/>
        <w:autoSpaceDE/>
        <w:autoSpaceDN/>
        <w:bidi w:val="0"/>
        <w:adjustRightInd/>
        <w:snapToGrid/>
        <w:spacing w:line="360" w:lineRule="auto"/>
        <w:ind w:firstLine="960" w:firstLineChars="300"/>
        <w:jc w:val="left"/>
        <w:textAlignment w:val="auto"/>
        <w:rPr>
          <w:rFonts w:hint="eastAsia" w:ascii="宋体" w:hAnsi="宋体" w:cs="宋体"/>
          <w:b w:val="0"/>
          <w:bCs/>
          <w:color w:val="auto"/>
          <w:sz w:val="32"/>
          <w:szCs w:val="32"/>
          <w:highlight w:val="none"/>
        </w:rPr>
      </w:pPr>
      <w:r>
        <w:rPr>
          <w:rFonts w:hint="eastAsia" w:ascii="宋体" w:hAnsi="宋体" w:eastAsia="宋体" w:cs="宋体"/>
          <w:b w:val="0"/>
          <w:bCs w:val="0"/>
          <w:color w:val="auto"/>
          <w:sz w:val="32"/>
          <w:szCs w:val="32"/>
          <w:highlight w:val="none"/>
        </w:rPr>
        <w:t>代建单位：</w:t>
      </w:r>
      <w:r>
        <w:rPr>
          <w:rFonts w:hint="eastAsia" w:ascii="宋体" w:hAnsi="宋体" w:eastAsia="宋体" w:cs="宋体"/>
          <w:b w:val="0"/>
          <w:bCs w:val="0"/>
          <w:color w:val="auto"/>
          <w:sz w:val="32"/>
          <w:szCs w:val="32"/>
          <w:highlight w:val="none"/>
          <w:u w:val="single"/>
          <w:lang w:eastAsia="zh-CN"/>
        </w:rPr>
        <w:t>绍兴市城发建设有限公司</w:t>
      </w:r>
      <w:r>
        <w:rPr>
          <w:rFonts w:hint="eastAsia" w:ascii="宋体" w:hAnsi="宋体"/>
          <w:color w:val="auto"/>
          <w:sz w:val="32"/>
          <w:szCs w:val="32"/>
          <w:highlight w:val="none"/>
        </w:rPr>
        <w:t>（盖章）</w:t>
      </w:r>
    </w:p>
    <w:p w14:paraId="2B5E961C">
      <w:pPr>
        <w:keepNext w:val="0"/>
        <w:keepLines w:val="0"/>
        <w:pageBreakBefore w:val="0"/>
        <w:widowControl w:val="0"/>
        <w:kinsoku/>
        <w:wordWrap/>
        <w:overflowPunct/>
        <w:topLinePunct w:val="0"/>
        <w:autoSpaceDE/>
        <w:autoSpaceDN/>
        <w:bidi w:val="0"/>
        <w:adjustRightInd/>
        <w:snapToGrid/>
        <w:spacing w:line="360" w:lineRule="auto"/>
        <w:ind w:firstLine="960" w:firstLineChars="300"/>
        <w:jc w:val="left"/>
        <w:textAlignment w:val="auto"/>
        <w:rPr>
          <w:rFonts w:hint="eastAsia" w:ascii="宋体" w:hAnsi="宋体" w:cs="宋体"/>
          <w:b w:val="0"/>
          <w:bCs/>
          <w:color w:val="auto"/>
          <w:sz w:val="32"/>
          <w:szCs w:val="32"/>
          <w:highlight w:val="none"/>
        </w:rPr>
      </w:pPr>
      <w:r>
        <w:rPr>
          <w:rFonts w:hint="eastAsia" w:ascii="宋体" w:hAnsi="宋体" w:cs="宋体"/>
          <w:b w:val="0"/>
          <w:bCs/>
          <w:color w:val="auto"/>
          <w:sz w:val="32"/>
          <w:szCs w:val="32"/>
          <w:highlight w:val="none"/>
        </w:rPr>
        <w:t>招标代理机构：</w:t>
      </w:r>
      <w:r>
        <w:rPr>
          <w:rFonts w:hint="eastAsia" w:ascii="宋体" w:hAnsi="宋体" w:cs="宋体"/>
          <w:b w:val="0"/>
          <w:bCs/>
          <w:color w:val="auto"/>
          <w:sz w:val="32"/>
          <w:szCs w:val="32"/>
          <w:highlight w:val="none"/>
          <w:u w:val="single"/>
          <w:lang w:val="en-US" w:eastAsia="zh-CN"/>
        </w:rPr>
        <w:t>华汇工程设计集团股份有限公司</w:t>
      </w:r>
      <w:r>
        <w:rPr>
          <w:rFonts w:hint="eastAsia" w:ascii="宋体" w:hAnsi="宋体"/>
          <w:color w:val="auto"/>
          <w:sz w:val="32"/>
          <w:szCs w:val="32"/>
          <w:highlight w:val="none"/>
        </w:rPr>
        <w:t>（盖章）</w:t>
      </w:r>
    </w:p>
    <w:p w14:paraId="0717ADE1">
      <w:pPr>
        <w:keepNext w:val="0"/>
        <w:keepLines w:val="0"/>
        <w:pageBreakBefore w:val="0"/>
        <w:widowControl w:val="0"/>
        <w:kinsoku/>
        <w:wordWrap/>
        <w:overflowPunct/>
        <w:topLinePunct w:val="0"/>
        <w:autoSpaceDE/>
        <w:autoSpaceDN/>
        <w:bidi w:val="0"/>
        <w:adjustRightInd/>
        <w:snapToGrid/>
        <w:spacing w:line="360" w:lineRule="auto"/>
        <w:ind w:firstLine="2560" w:firstLineChars="800"/>
        <w:jc w:val="left"/>
        <w:textAlignment w:val="auto"/>
        <w:rPr>
          <w:rFonts w:hint="default" w:ascii="宋体" w:hAnsi="宋体" w:eastAsia="宋体" w:cs="Times New Roman"/>
          <w:b w:val="0"/>
          <w:bCs/>
          <w:color w:val="auto"/>
          <w:sz w:val="32"/>
          <w:szCs w:val="32"/>
          <w:highlight w:val="none"/>
          <w:u w:val="single"/>
          <w:lang w:val="en-US" w:eastAsia="zh-CN"/>
        </w:rPr>
      </w:pPr>
      <w:r>
        <w:rPr>
          <w:rFonts w:hint="eastAsia" w:ascii="宋体" w:hAnsi="宋体" w:cs="宋体"/>
          <w:b w:val="0"/>
          <w:bCs/>
          <w:color w:val="auto"/>
          <w:sz w:val="32"/>
          <w:szCs w:val="32"/>
          <w:highlight w:val="none"/>
          <w:lang w:val="en-US" w:eastAsia="zh-CN"/>
        </w:rPr>
        <w:t>2026</w:t>
      </w:r>
      <w:r>
        <w:rPr>
          <w:rFonts w:hint="eastAsia" w:ascii="宋体" w:hAnsi="宋体" w:cs="宋体"/>
          <w:b w:val="0"/>
          <w:bCs/>
          <w:color w:val="auto"/>
          <w:sz w:val="32"/>
          <w:szCs w:val="32"/>
          <w:highlight w:val="none"/>
        </w:rPr>
        <w:t>年</w:t>
      </w:r>
      <w:r>
        <w:rPr>
          <w:rFonts w:hint="eastAsia" w:ascii="宋体" w:hAnsi="宋体" w:cs="宋体"/>
          <w:b w:val="0"/>
          <w:bCs/>
          <w:color w:val="auto"/>
          <w:sz w:val="32"/>
          <w:szCs w:val="32"/>
          <w:highlight w:val="none"/>
          <w:lang w:val="en-US" w:eastAsia="zh-CN"/>
        </w:rPr>
        <w:t>8月   日</w:t>
      </w:r>
    </w:p>
    <w:p w14:paraId="0724861B">
      <w:pPr>
        <w:spacing w:line="360" w:lineRule="auto"/>
        <w:jc w:val="center"/>
        <w:rPr>
          <w:rFonts w:hint="eastAsia" w:ascii="宋体" w:hAnsi="宋体" w:cs="Times New Roman"/>
          <w:color w:val="auto"/>
          <w:sz w:val="36"/>
          <w:szCs w:val="36"/>
          <w:highlight w:val="none"/>
          <w:u w:val="single"/>
          <w:lang w:eastAsia="zh-CN"/>
        </w:rPr>
      </w:pPr>
    </w:p>
    <w:p w14:paraId="7B6539BF">
      <w:pPr>
        <w:spacing w:line="360" w:lineRule="auto"/>
        <w:jc w:val="center"/>
        <w:rPr>
          <w:rFonts w:hint="eastAsia" w:ascii="宋体" w:hAnsi="宋体" w:cs="Times New Roman"/>
          <w:color w:val="auto"/>
          <w:sz w:val="32"/>
          <w:szCs w:val="32"/>
          <w:highlight w:val="none"/>
          <w:u w:val="single"/>
          <w:lang w:eastAsia="zh-CN"/>
        </w:rPr>
        <w:sectPr>
          <w:headerReference r:id="rId3" w:type="default"/>
          <w:footerReference r:id="rId4" w:type="default"/>
          <w:footerReference r:id="rId5" w:type="even"/>
          <w:pgSz w:w="11906" w:h="16838"/>
          <w:pgMar w:top="1304" w:right="1417" w:bottom="1304" w:left="1417" w:header="851" w:footer="992" w:gutter="0"/>
          <w:pgBorders>
            <w:top w:val="none" w:sz="0" w:space="0"/>
            <w:left w:val="none" w:sz="0" w:space="0"/>
            <w:bottom w:val="none" w:sz="0" w:space="0"/>
            <w:right w:val="none" w:sz="0" w:space="0"/>
          </w:pgBorders>
          <w:pgNumType w:fmt="decimal" w:start="0"/>
          <w:cols w:space="0" w:num="1"/>
          <w:rtlGutter w:val="0"/>
          <w:docGrid w:type="lines" w:linePitch="312" w:charSpace="0"/>
        </w:sectPr>
      </w:pPr>
    </w:p>
    <w:p w14:paraId="609560EB">
      <w:pPr>
        <w:spacing w:line="360" w:lineRule="auto"/>
        <w:jc w:val="center"/>
        <w:rPr>
          <w:b/>
          <w:bCs/>
          <w:color w:val="auto"/>
          <w:sz w:val="44"/>
          <w:szCs w:val="44"/>
          <w:highlight w:val="none"/>
        </w:rPr>
      </w:pPr>
      <w:bookmarkStart w:id="0" w:name="_Toc372575744"/>
      <w:r>
        <w:rPr>
          <w:rFonts w:ascii="宋体" w:hAnsi="宋体"/>
          <w:b/>
          <w:bCs/>
          <w:color w:val="auto"/>
          <w:sz w:val="44"/>
          <w:szCs w:val="44"/>
          <w:highlight w:val="none"/>
        </w:rPr>
        <w:t>目</w:t>
      </w:r>
      <w:r>
        <w:rPr>
          <w:rFonts w:hint="eastAsia" w:ascii="宋体" w:hAnsi="宋体"/>
          <w:b/>
          <w:bCs/>
          <w:color w:val="auto"/>
          <w:sz w:val="44"/>
          <w:szCs w:val="44"/>
          <w:highlight w:val="none"/>
          <w:lang w:val="en-US" w:eastAsia="zh-CN"/>
        </w:rPr>
        <w:t xml:space="preserve">  </w:t>
      </w:r>
      <w:r>
        <w:rPr>
          <w:rFonts w:ascii="宋体" w:hAnsi="宋体"/>
          <w:b/>
          <w:bCs/>
          <w:color w:val="auto"/>
          <w:sz w:val="44"/>
          <w:szCs w:val="44"/>
          <w:highlight w:val="none"/>
        </w:rPr>
        <w:t>录</w:t>
      </w:r>
    </w:p>
    <w:p w14:paraId="3BE9E234">
      <w:pPr>
        <w:spacing w:beforeLines="0" w:afterLines="0" w:line="480" w:lineRule="exact"/>
        <w:ind w:left="630"/>
        <w:rPr>
          <w:rFonts w:hint="eastAsia"/>
          <w:color w:val="auto"/>
          <w:sz w:val="24"/>
          <w:szCs w:val="24"/>
          <w:highlight w:val="none"/>
        </w:rPr>
      </w:pPr>
    </w:p>
    <w:p w14:paraId="2C4C91A9">
      <w:pPr>
        <w:spacing w:beforeLines="0" w:afterLines="0" w:line="480" w:lineRule="exact"/>
        <w:ind w:left="630"/>
        <w:rPr>
          <w:rFonts w:hint="eastAsia"/>
          <w:color w:val="auto"/>
          <w:sz w:val="24"/>
          <w:szCs w:val="24"/>
          <w:highlight w:val="none"/>
        </w:rPr>
      </w:pPr>
      <w:r>
        <w:rPr>
          <w:rFonts w:hint="eastAsia"/>
          <w:color w:val="auto"/>
          <w:sz w:val="24"/>
          <w:szCs w:val="24"/>
          <w:highlight w:val="none"/>
        </w:rPr>
        <w:t xml:space="preserve">第一章  招标公告 </w:t>
      </w:r>
    </w:p>
    <w:p w14:paraId="486E4496">
      <w:pPr>
        <w:spacing w:beforeLines="0" w:afterLines="0" w:line="480" w:lineRule="exact"/>
        <w:ind w:left="630"/>
        <w:rPr>
          <w:rFonts w:hint="eastAsia"/>
          <w:color w:val="auto"/>
          <w:sz w:val="24"/>
          <w:szCs w:val="24"/>
          <w:highlight w:val="none"/>
        </w:rPr>
      </w:pPr>
      <w:r>
        <w:rPr>
          <w:rFonts w:hint="eastAsia"/>
          <w:color w:val="auto"/>
          <w:sz w:val="24"/>
          <w:szCs w:val="24"/>
          <w:highlight w:val="none"/>
        </w:rPr>
        <w:t xml:space="preserve">第二章  投标人须知 </w:t>
      </w:r>
    </w:p>
    <w:p w14:paraId="49FAB184">
      <w:pPr>
        <w:spacing w:beforeLines="0" w:afterLines="0" w:line="480" w:lineRule="exact"/>
        <w:ind w:left="630" w:firstLine="420"/>
        <w:rPr>
          <w:rFonts w:hint="eastAsia"/>
          <w:color w:val="auto"/>
          <w:sz w:val="24"/>
          <w:szCs w:val="24"/>
          <w:highlight w:val="none"/>
        </w:rPr>
      </w:pPr>
      <w:r>
        <w:rPr>
          <w:rFonts w:hint="eastAsia"/>
          <w:color w:val="auto"/>
          <w:sz w:val="24"/>
          <w:szCs w:val="24"/>
          <w:highlight w:val="none"/>
        </w:rPr>
        <w:t xml:space="preserve">投标人须知前附表 </w:t>
      </w:r>
    </w:p>
    <w:p w14:paraId="34DE50A1">
      <w:pPr>
        <w:spacing w:beforeLines="0" w:afterLines="0" w:line="480" w:lineRule="exact"/>
        <w:ind w:left="630" w:firstLine="420"/>
        <w:rPr>
          <w:rFonts w:hint="eastAsia"/>
          <w:color w:val="auto"/>
          <w:sz w:val="24"/>
          <w:szCs w:val="24"/>
          <w:highlight w:val="none"/>
        </w:rPr>
      </w:pPr>
      <w:r>
        <w:rPr>
          <w:rFonts w:hint="eastAsia"/>
          <w:color w:val="auto"/>
          <w:sz w:val="24"/>
          <w:szCs w:val="24"/>
          <w:highlight w:val="none"/>
        </w:rPr>
        <w:t xml:space="preserve">一、总则 </w:t>
      </w:r>
    </w:p>
    <w:p w14:paraId="3B7CBD51">
      <w:pPr>
        <w:spacing w:beforeLines="0" w:afterLines="0" w:line="480" w:lineRule="exact"/>
        <w:ind w:left="630" w:firstLine="420"/>
        <w:rPr>
          <w:rFonts w:hint="eastAsia"/>
          <w:color w:val="auto"/>
          <w:sz w:val="24"/>
          <w:szCs w:val="24"/>
          <w:highlight w:val="none"/>
        </w:rPr>
      </w:pPr>
      <w:r>
        <w:rPr>
          <w:rFonts w:hint="eastAsia"/>
          <w:color w:val="auto"/>
          <w:sz w:val="24"/>
          <w:szCs w:val="24"/>
          <w:highlight w:val="none"/>
        </w:rPr>
        <w:t xml:space="preserve">二、招标文件 </w:t>
      </w:r>
    </w:p>
    <w:p w14:paraId="1EBF5774">
      <w:pPr>
        <w:spacing w:beforeLines="0" w:afterLines="0" w:line="480" w:lineRule="exact"/>
        <w:ind w:left="630" w:firstLine="420"/>
        <w:rPr>
          <w:rFonts w:hint="eastAsia"/>
          <w:color w:val="auto"/>
          <w:sz w:val="24"/>
          <w:szCs w:val="24"/>
          <w:highlight w:val="none"/>
        </w:rPr>
      </w:pPr>
      <w:r>
        <w:rPr>
          <w:rFonts w:hint="eastAsia"/>
          <w:color w:val="auto"/>
          <w:sz w:val="24"/>
          <w:szCs w:val="24"/>
          <w:highlight w:val="none"/>
        </w:rPr>
        <w:t xml:space="preserve">三、投标报价 </w:t>
      </w:r>
    </w:p>
    <w:p w14:paraId="33F280AA">
      <w:pPr>
        <w:spacing w:beforeLines="0" w:afterLines="0" w:line="480" w:lineRule="exact"/>
        <w:ind w:left="630" w:firstLine="420"/>
        <w:rPr>
          <w:rFonts w:hint="eastAsia"/>
          <w:color w:val="auto"/>
          <w:sz w:val="24"/>
          <w:szCs w:val="24"/>
          <w:highlight w:val="none"/>
        </w:rPr>
      </w:pPr>
      <w:r>
        <w:rPr>
          <w:rFonts w:hint="eastAsia"/>
          <w:color w:val="auto"/>
          <w:sz w:val="24"/>
          <w:szCs w:val="24"/>
          <w:highlight w:val="none"/>
        </w:rPr>
        <w:t>四、投标文件的编制</w:t>
      </w:r>
    </w:p>
    <w:p w14:paraId="56285844">
      <w:pPr>
        <w:spacing w:beforeLines="0" w:afterLines="0" w:line="480" w:lineRule="exact"/>
        <w:ind w:left="630" w:firstLine="420"/>
        <w:rPr>
          <w:rFonts w:hint="eastAsia"/>
          <w:color w:val="auto"/>
          <w:sz w:val="24"/>
          <w:szCs w:val="24"/>
          <w:highlight w:val="none"/>
        </w:rPr>
      </w:pPr>
      <w:r>
        <w:rPr>
          <w:rFonts w:hint="eastAsia"/>
          <w:color w:val="auto"/>
          <w:sz w:val="24"/>
          <w:szCs w:val="24"/>
          <w:highlight w:val="none"/>
        </w:rPr>
        <w:t xml:space="preserve">五、投标文件的递交 </w:t>
      </w:r>
    </w:p>
    <w:p w14:paraId="6BDD932A">
      <w:pPr>
        <w:spacing w:beforeLines="0" w:afterLines="0" w:line="480" w:lineRule="exact"/>
        <w:ind w:left="630" w:firstLine="420"/>
        <w:rPr>
          <w:rFonts w:hint="eastAsia"/>
          <w:color w:val="auto"/>
          <w:sz w:val="24"/>
          <w:szCs w:val="24"/>
          <w:highlight w:val="none"/>
        </w:rPr>
      </w:pPr>
      <w:r>
        <w:rPr>
          <w:rFonts w:hint="eastAsia"/>
          <w:color w:val="auto"/>
          <w:sz w:val="24"/>
          <w:szCs w:val="24"/>
          <w:highlight w:val="none"/>
        </w:rPr>
        <w:t xml:space="preserve">六、开标 </w:t>
      </w:r>
    </w:p>
    <w:p w14:paraId="7BEE2A4A">
      <w:pPr>
        <w:spacing w:beforeLines="0" w:afterLines="0" w:line="480" w:lineRule="exact"/>
        <w:ind w:left="630" w:firstLine="420"/>
        <w:rPr>
          <w:rFonts w:hint="eastAsia"/>
          <w:color w:val="auto"/>
          <w:sz w:val="24"/>
          <w:szCs w:val="24"/>
          <w:highlight w:val="none"/>
        </w:rPr>
      </w:pPr>
      <w:r>
        <w:rPr>
          <w:rFonts w:hint="eastAsia"/>
          <w:color w:val="auto"/>
          <w:sz w:val="24"/>
          <w:szCs w:val="24"/>
          <w:highlight w:val="none"/>
        </w:rPr>
        <w:t>七、评标</w:t>
      </w:r>
    </w:p>
    <w:p w14:paraId="027AD31F">
      <w:pPr>
        <w:spacing w:beforeLines="0" w:afterLines="0" w:line="480" w:lineRule="exact"/>
        <w:ind w:left="630" w:firstLine="420"/>
        <w:rPr>
          <w:rFonts w:hint="eastAsia"/>
          <w:color w:val="auto"/>
          <w:sz w:val="24"/>
          <w:szCs w:val="24"/>
          <w:highlight w:val="none"/>
        </w:rPr>
      </w:pPr>
      <w:r>
        <w:rPr>
          <w:rFonts w:hint="eastAsia"/>
          <w:color w:val="auto"/>
          <w:sz w:val="24"/>
          <w:szCs w:val="24"/>
          <w:highlight w:val="none"/>
        </w:rPr>
        <w:t xml:space="preserve">八、中标 </w:t>
      </w:r>
    </w:p>
    <w:p w14:paraId="5448439F">
      <w:pPr>
        <w:spacing w:beforeLines="0" w:afterLines="0" w:line="480" w:lineRule="exact"/>
        <w:ind w:left="630" w:firstLine="420"/>
        <w:rPr>
          <w:rFonts w:hint="eastAsia"/>
          <w:color w:val="auto"/>
          <w:sz w:val="24"/>
          <w:szCs w:val="24"/>
          <w:highlight w:val="none"/>
        </w:rPr>
      </w:pPr>
      <w:r>
        <w:rPr>
          <w:rFonts w:hint="eastAsia"/>
          <w:color w:val="auto"/>
          <w:sz w:val="24"/>
          <w:szCs w:val="24"/>
          <w:highlight w:val="none"/>
        </w:rPr>
        <w:t>九、授予合同</w:t>
      </w:r>
    </w:p>
    <w:p w14:paraId="0B4622D7">
      <w:pPr>
        <w:spacing w:beforeLines="0" w:afterLines="0" w:line="480" w:lineRule="exact"/>
        <w:ind w:left="630"/>
        <w:rPr>
          <w:rFonts w:hint="eastAsia" w:eastAsia="宋体"/>
          <w:color w:val="auto"/>
          <w:sz w:val="24"/>
          <w:szCs w:val="24"/>
          <w:highlight w:val="none"/>
          <w:lang w:eastAsia="zh-CN"/>
        </w:rPr>
      </w:pPr>
      <w:r>
        <w:rPr>
          <w:rFonts w:hint="eastAsia"/>
          <w:color w:val="auto"/>
          <w:sz w:val="24"/>
          <w:szCs w:val="24"/>
          <w:highlight w:val="none"/>
        </w:rPr>
        <w:t xml:space="preserve">第三章  </w:t>
      </w:r>
      <w:r>
        <w:rPr>
          <w:rFonts w:hint="eastAsia"/>
          <w:color w:val="auto"/>
          <w:sz w:val="24"/>
          <w:szCs w:val="24"/>
          <w:highlight w:val="none"/>
          <w:lang w:eastAsia="zh-CN"/>
        </w:rPr>
        <w:t>合同主要条款</w:t>
      </w:r>
    </w:p>
    <w:p w14:paraId="79EACC08">
      <w:pPr>
        <w:spacing w:beforeLines="0" w:afterLines="0" w:line="480" w:lineRule="exact"/>
        <w:ind w:left="630"/>
        <w:rPr>
          <w:rFonts w:hint="eastAsia"/>
          <w:b w:val="0"/>
          <w:bCs/>
          <w:color w:val="auto"/>
          <w:sz w:val="24"/>
          <w:szCs w:val="24"/>
          <w:highlight w:val="none"/>
        </w:rPr>
      </w:pPr>
      <w:r>
        <w:rPr>
          <w:rFonts w:hint="eastAsia"/>
          <w:b w:val="0"/>
          <w:bCs/>
          <w:color w:val="auto"/>
          <w:sz w:val="24"/>
          <w:szCs w:val="24"/>
          <w:highlight w:val="none"/>
        </w:rPr>
        <w:t>第四章  投标文件格式</w:t>
      </w:r>
    </w:p>
    <w:p w14:paraId="093C62A7">
      <w:pPr>
        <w:pStyle w:val="22"/>
        <w:spacing w:line="480" w:lineRule="auto"/>
        <w:ind w:firstLine="241"/>
        <w:rPr>
          <w:rFonts w:ascii="宋体" w:hAnsi="宋体"/>
          <w:b/>
          <w:color w:val="auto"/>
          <w:sz w:val="30"/>
          <w:szCs w:val="24"/>
          <w:highlight w:val="none"/>
          <w:u w:val="single"/>
        </w:rPr>
      </w:pPr>
    </w:p>
    <w:bookmarkEnd w:id="0"/>
    <w:p w14:paraId="13BB718B">
      <w:pPr>
        <w:rPr>
          <w:rFonts w:hint="eastAsia" w:ascii="宋体" w:hAnsi="宋体" w:cs="Times New Roman"/>
          <w:b/>
          <w:color w:val="auto"/>
          <w:kern w:val="44"/>
          <w:sz w:val="44"/>
          <w:szCs w:val="24"/>
          <w:highlight w:val="none"/>
          <w:lang w:val="zh-CN"/>
        </w:rPr>
      </w:pPr>
      <w:bookmarkStart w:id="1" w:name="_Toc17318"/>
      <w:bookmarkStart w:id="2" w:name="_Toc20966"/>
      <w:r>
        <w:rPr>
          <w:rFonts w:hint="eastAsia" w:ascii="宋体" w:hAnsi="宋体" w:cs="Times New Roman"/>
          <w:b/>
          <w:color w:val="auto"/>
          <w:kern w:val="44"/>
          <w:sz w:val="44"/>
          <w:szCs w:val="24"/>
          <w:highlight w:val="none"/>
          <w:lang w:val="zh-CN"/>
        </w:rPr>
        <w:br w:type="page"/>
      </w:r>
    </w:p>
    <w:p w14:paraId="4C85860B">
      <w:pPr>
        <w:numPr>
          <w:ilvl w:val="0"/>
          <w:numId w:val="2"/>
        </w:numPr>
        <w:jc w:val="center"/>
        <w:rPr>
          <w:rFonts w:hint="eastAsia"/>
          <w:b/>
          <w:color w:val="auto"/>
          <w:sz w:val="32"/>
          <w:szCs w:val="24"/>
          <w:highlight w:val="none"/>
        </w:rPr>
      </w:pPr>
      <w:r>
        <w:rPr>
          <w:rFonts w:hint="eastAsia"/>
          <w:b/>
          <w:color w:val="auto"/>
          <w:sz w:val="32"/>
          <w:szCs w:val="24"/>
          <w:highlight w:val="none"/>
        </w:rPr>
        <w:t xml:space="preserve"> 招标公告</w:t>
      </w:r>
    </w:p>
    <w:p w14:paraId="0F39718E">
      <w:pPr>
        <w:pStyle w:val="8"/>
        <w:widowControl w:val="0"/>
        <w:numPr>
          <w:ilvl w:val="0"/>
          <w:numId w:val="0"/>
        </w:numPr>
        <w:jc w:val="both"/>
        <w:rPr>
          <w:rFonts w:hint="eastAsia"/>
          <w:highlight w:val="none"/>
          <w:lang w:val="zh-CN"/>
        </w:rPr>
      </w:pPr>
    </w:p>
    <w:p w14:paraId="5BBED89F">
      <w:pPr>
        <w:keepNext w:val="0"/>
        <w:keepLines w:val="0"/>
        <w:pageBreakBefore w:val="0"/>
        <w:widowControl/>
        <w:suppressLineNumbers w:val="0"/>
        <w:kinsoku/>
        <w:wordWrap/>
        <w:overflowPunct/>
        <w:topLinePunct w:val="0"/>
        <w:autoSpaceDE/>
        <w:autoSpaceDN/>
        <w:bidi w:val="0"/>
        <w:adjustRightInd/>
        <w:snapToGrid w:val="0"/>
        <w:spacing w:before="0" w:beforeAutospacing="0" w:afterAutospacing="0" w:line="312" w:lineRule="auto"/>
        <w:ind w:left="0" w:right="0"/>
        <w:jc w:val="center"/>
        <w:textAlignment w:val="auto"/>
        <w:rPr>
          <w:rFonts w:hint="eastAsia" w:ascii="宋体" w:hAnsi="宋体" w:cs="宋体"/>
          <w:color w:val="auto"/>
          <w:kern w:val="0"/>
          <w:szCs w:val="21"/>
          <w:highlight w:val="none"/>
        </w:rPr>
      </w:pPr>
      <w:r>
        <w:rPr>
          <w:rFonts w:hint="eastAsia" w:ascii="宋体" w:hAnsi="宋体" w:cs="宋体"/>
          <w:b/>
          <w:color w:val="auto"/>
          <w:kern w:val="0"/>
          <w:sz w:val="28"/>
          <w:szCs w:val="28"/>
          <w:highlight w:val="none"/>
          <w:u w:val="single"/>
          <w:lang w:val="en-US" w:eastAsia="zh-CN"/>
        </w:rPr>
        <w:t>绍兴市第七人民医院新院区建设工程室内分布系统项目</w:t>
      </w:r>
      <w:r>
        <w:rPr>
          <w:rFonts w:hint="eastAsia" w:ascii="宋体" w:hAnsi="宋体" w:cs="宋体"/>
          <w:b/>
          <w:color w:val="auto"/>
          <w:kern w:val="0"/>
          <w:sz w:val="28"/>
          <w:szCs w:val="28"/>
          <w:highlight w:val="none"/>
        </w:rPr>
        <w:t>招标公告</w:t>
      </w:r>
    </w:p>
    <w:p w14:paraId="57285D53">
      <w:pPr>
        <w:keepNext w:val="0"/>
        <w:keepLines w:val="0"/>
        <w:pageBreakBefore w:val="0"/>
        <w:widowControl/>
        <w:suppressLineNumbers w:val="0"/>
        <w:kinsoku/>
        <w:overflowPunct/>
        <w:topLinePunct w:val="0"/>
        <w:autoSpaceDE/>
        <w:autoSpaceDN/>
        <w:bidi w:val="0"/>
        <w:adjustRightInd/>
        <w:snapToGrid w:val="0"/>
        <w:spacing w:before="0" w:beforeAutospacing="0" w:afterAutospacing="0" w:line="312" w:lineRule="auto"/>
        <w:ind w:left="0" w:right="0" w:firstLine="440" w:firstLineChars="200"/>
        <w:textAlignment w:val="auto"/>
        <w:rPr>
          <w:rFonts w:hint="eastAsia" w:ascii="宋体" w:hAnsi="宋体" w:cs="宋体"/>
          <w:color w:val="auto"/>
          <w:kern w:val="2"/>
          <w:sz w:val="22"/>
          <w:szCs w:val="22"/>
          <w:highlight w:val="none"/>
        </w:rPr>
      </w:pPr>
      <w:r>
        <w:rPr>
          <w:rFonts w:hint="default" w:ascii="Times New Roman" w:hAnsi="Times New Roman" w:cs="Times New Roman"/>
          <w:color w:val="auto"/>
          <w:kern w:val="0"/>
          <w:sz w:val="22"/>
          <w:szCs w:val="22"/>
          <w:highlight w:val="none"/>
        </w:rPr>
        <w:t>本招标项目</w:t>
      </w:r>
      <w:r>
        <w:rPr>
          <w:rFonts w:hint="eastAsia" w:ascii="Times New Roman" w:hAnsi="Times New Roman" w:cs="Times New Roman"/>
          <w:color w:val="auto"/>
          <w:kern w:val="0"/>
          <w:sz w:val="22"/>
          <w:szCs w:val="22"/>
          <w:highlight w:val="none"/>
          <w:lang w:val="en-US" w:eastAsia="zh-CN"/>
        </w:rPr>
        <w:t xml:space="preserve"> </w:t>
      </w:r>
      <w:r>
        <w:rPr>
          <w:rFonts w:hint="eastAsia" w:ascii="Times New Roman" w:hAnsi="Times New Roman" w:cs="Times New Roman"/>
          <w:color w:val="auto"/>
          <w:kern w:val="0"/>
          <w:sz w:val="22"/>
          <w:szCs w:val="22"/>
          <w:highlight w:val="none"/>
          <w:u w:val="single"/>
          <w:lang w:val="en-US" w:eastAsia="zh-CN"/>
        </w:rPr>
        <w:t>绍兴市第七人民医院新院区建设工程室内分布系统项目</w:t>
      </w:r>
      <w:r>
        <w:rPr>
          <w:rFonts w:hint="default" w:ascii="Times New Roman" w:hAnsi="Times New Roman" w:cs="Times New Roman"/>
          <w:color w:val="auto"/>
          <w:kern w:val="0"/>
          <w:sz w:val="22"/>
          <w:szCs w:val="22"/>
          <w:highlight w:val="none"/>
        </w:rPr>
        <w:t>（项目名称），招标人为</w:t>
      </w:r>
      <w:r>
        <w:rPr>
          <w:rFonts w:hint="eastAsia" w:ascii="Times New Roman" w:hAnsi="Times New Roman" w:cs="Times New Roman"/>
          <w:color w:val="auto"/>
          <w:kern w:val="0"/>
          <w:sz w:val="22"/>
          <w:szCs w:val="22"/>
          <w:highlight w:val="none"/>
          <w:u w:val="single"/>
          <w:lang w:eastAsia="zh-CN"/>
        </w:rPr>
        <w:t>绍兴市第七人民医院</w:t>
      </w:r>
      <w:r>
        <w:rPr>
          <w:rFonts w:hint="default" w:ascii="Times New Roman" w:hAnsi="Times New Roman" w:cs="Times New Roman"/>
          <w:color w:val="auto"/>
          <w:kern w:val="0"/>
          <w:sz w:val="22"/>
          <w:szCs w:val="22"/>
          <w:highlight w:val="none"/>
        </w:rPr>
        <w:t>。项目已具备招标条件，现对该项目进行</w:t>
      </w:r>
      <w:r>
        <w:rPr>
          <w:rFonts w:hint="default" w:ascii="Times New Roman" w:hAnsi="Times New Roman" w:cs="Times New Roman"/>
          <w:color w:val="auto"/>
          <w:kern w:val="0"/>
          <w:sz w:val="22"/>
          <w:szCs w:val="22"/>
          <w:highlight w:val="none"/>
          <w:u w:val="single"/>
          <w:lang w:val="en-US" w:eastAsia="zh-CN"/>
        </w:rPr>
        <w:t xml:space="preserve"> </w:t>
      </w:r>
      <w:r>
        <w:rPr>
          <w:rFonts w:hint="default" w:ascii="Times New Roman" w:hAnsi="Times New Roman" w:cs="Times New Roman"/>
          <w:color w:val="auto"/>
          <w:kern w:val="0"/>
          <w:sz w:val="22"/>
          <w:szCs w:val="22"/>
          <w:highlight w:val="none"/>
          <w:u w:val="single"/>
        </w:rPr>
        <w:t>公开</w:t>
      </w:r>
      <w:r>
        <w:rPr>
          <w:rFonts w:hint="default" w:ascii="Times New Roman" w:hAnsi="Times New Roman" w:cs="Times New Roman"/>
          <w:color w:val="auto"/>
          <w:kern w:val="0"/>
          <w:sz w:val="22"/>
          <w:szCs w:val="22"/>
          <w:highlight w:val="none"/>
          <w:u w:val="single"/>
          <w:lang w:val="en-US" w:eastAsia="zh-CN"/>
        </w:rPr>
        <w:t xml:space="preserve"> </w:t>
      </w:r>
      <w:r>
        <w:rPr>
          <w:rFonts w:hint="default" w:ascii="Times New Roman" w:hAnsi="Times New Roman" w:cs="Times New Roman"/>
          <w:color w:val="auto"/>
          <w:kern w:val="0"/>
          <w:sz w:val="22"/>
          <w:szCs w:val="22"/>
          <w:highlight w:val="none"/>
        </w:rPr>
        <w:t>招标</w:t>
      </w:r>
      <w:r>
        <w:rPr>
          <w:rFonts w:hint="eastAsia" w:ascii="Times New Roman" w:hAnsi="Times New Roman" w:cs="Times New Roman"/>
          <w:color w:val="auto"/>
          <w:kern w:val="0"/>
          <w:sz w:val="22"/>
          <w:szCs w:val="22"/>
          <w:highlight w:val="none"/>
          <w:lang w:eastAsia="zh-CN"/>
        </w:rPr>
        <w:t>，</w:t>
      </w:r>
      <w:r>
        <w:rPr>
          <w:rFonts w:hint="eastAsia" w:ascii="宋体" w:hAnsi="宋体" w:cs="宋体"/>
          <w:color w:val="auto"/>
          <w:kern w:val="2"/>
          <w:sz w:val="22"/>
          <w:szCs w:val="22"/>
          <w:highlight w:val="none"/>
        </w:rPr>
        <w:t>有关内容如下：</w:t>
      </w:r>
    </w:p>
    <w:p w14:paraId="595E0E50">
      <w:pPr>
        <w:pStyle w:val="20"/>
        <w:keepNext w:val="0"/>
        <w:keepLines w:val="0"/>
        <w:pageBreakBefore w:val="0"/>
        <w:widowControl/>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442" w:firstLineChars="200"/>
        <w:textAlignment w:val="auto"/>
        <w:rPr>
          <w:rFonts w:hint="eastAsia" w:ascii="宋体" w:hAnsi="宋体" w:cs="宋体"/>
          <w:b/>
          <w:bCs/>
          <w:color w:val="auto"/>
          <w:kern w:val="2"/>
          <w:sz w:val="22"/>
          <w:szCs w:val="22"/>
          <w:highlight w:val="none"/>
        </w:rPr>
      </w:pPr>
      <w:r>
        <w:rPr>
          <w:rFonts w:hint="eastAsia" w:ascii="宋体" w:hAnsi="宋体" w:cs="宋体"/>
          <w:b/>
          <w:bCs/>
          <w:color w:val="auto"/>
          <w:kern w:val="2"/>
          <w:sz w:val="22"/>
          <w:szCs w:val="22"/>
          <w:highlight w:val="none"/>
        </w:rPr>
        <w:t>一、招标</w:t>
      </w:r>
      <w:r>
        <w:rPr>
          <w:rFonts w:hint="eastAsia" w:cs="宋体"/>
          <w:b/>
          <w:bCs/>
          <w:color w:val="auto"/>
          <w:kern w:val="2"/>
          <w:sz w:val="22"/>
          <w:szCs w:val="22"/>
          <w:highlight w:val="none"/>
          <w:lang w:eastAsia="zh-CN"/>
        </w:rPr>
        <w:t>项目</w:t>
      </w:r>
      <w:r>
        <w:rPr>
          <w:rFonts w:hint="eastAsia" w:ascii="宋体" w:hAnsi="宋体" w:cs="宋体"/>
          <w:b/>
          <w:bCs/>
          <w:color w:val="auto"/>
          <w:kern w:val="2"/>
          <w:sz w:val="22"/>
          <w:szCs w:val="22"/>
          <w:highlight w:val="none"/>
        </w:rPr>
        <w:t>概况</w:t>
      </w:r>
    </w:p>
    <w:p w14:paraId="0D6E3523">
      <w:pPr>
        <w:pStyle w:val="20"/>
        <w:keepNext w:val="0"/>
        <w:keepLines w:val="0"/>
        <w:pageBreakBefore w:val="0"/>
        <w:widowControl/>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440" w:firstLineChars="200"/>
        <w:textAlignment w:val="auto"/>
        <w:rPr>
          <w:rFonts w:hint="default" w:ascii="宋体" w:hAnsi="宋体" w:eastAsia="宋体" w:cs="宋体"/>
          <w:color w:val="auto"/>
          <w:kern w:val="2"/>
          <w:sz w:val="22"/>
          <w:szCs w:val="22"/>
          <w:highlight w:val="none"/>
          <w:u w:val="single"/>
          <w:lang w:val="en-US" w:eastAsia="zh-CN"/>
        </w:rPr>
      </w:pPr>
      <w:r>
        <w:rPr>
          <w:rFonts w:hint="eastAsia" w:ascii="宋体" w:hAnsi="宋体" w:cs="宋体"/>
          <w:color w:val="auto"/>
          <w:kern w:val="2"/>
          <w:sz w:val="22"/>
          <w:szCs w:val="22"/>
          <w:highlight w:val="none"/>
        </w:rPr>
        <w:t>1、</w:t>
      </w:r>
      <w:r>
        <w:rPr>
          <w:rFonts w:hint="eastAsia" w:cs="宋体"/>
          <w:color w:val="auto"/>
          <w:kern w:val="2"/>
          <w:sz w:val="22"/>
          <w:szCs w:val="22"/>
          <w:highlight w:val="none"/>
          <w:lang w:eastAsia="zh-CN"/>
        </w:rPr>
        <w:t>项目</w:t>
      </w:r>
      <w:r>
        <w:rPr>
          <w:rFonts w:hint="eastAsia" w:ascii="宋体" w:hAnsi="宋体" w:cs="宋体"/>
          <w:color w:val="auto"/>
          <w:kern w:val="2"/>
          <w:sz w:val="22"/>
          <w:szCs w:val="22"/>
          <w:highlight w:val="none"/>
        </w:rPr>
        <w:t>地点：</w:t>
      </w:r>
      <w:r>
        <w:rPr>
          <w:rFonts w:hint="eastAsia" w:cs="宋体"/>
          <w:color w:val="auto"/>
          <w:kern w:val="2"/>
          <w:sz w:val="22"/>
          <w:szCs w:val="22"/>
          <w:highlight w:val="none"/>
          <w:u w:val="single"/>
          <w:lang w:val="en-US" w:eastAsia="zh-CN"/>
        </w:rPr>
        <w:t>项目位于越城区东浦街道、东至滚塘，南至十公溇，西至二环西路高架，北至西郊路。</w:t>
      </w:r>
    </w:p>
    <w:p w14:paraId="2A77DC63">
      <w:pPr>
        <w:pStyle w:val="20"/>
        <w:keepNext w:val="0"/>
        <w:keepLines w:val="0"/>
        <w:pageBreakBefore w:val="0"/>
        <w:widowControl/>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440" w:firstLineChars="200"/>
        <w:textAlignment w:val="auto"/>
        <w:rPr>
          <w:rFonts w:hint="eastAsia" w:ascii="宋体" w:hAnsi="宋体" w:eastAsia="宋体" w:cs="宋体"/>
          <w:bCs/>
          <w:color w:val="auto"/>
          <w:kern w:val="2"/>
          <w:sz w:val="22"/>
          <w:szCs w:val="22"/>
          <w:highlight w:val="none"/>
          <w:u w:val="single"/>
          <w:lang w:val="en-US" w:eastAsia="zh-CN" w:bidi="ar-SA"/>
        </w:rPr>
      </w:pPr>
      <w:r>
        <w:rPr>
          <w:rFonts w:hint="eastAsia"/>
          <w:b w:val="0"/>
          <w:bCs/>
          <w:color w:val="auto"/>
          <w:sz w:val="22"/>
          <w:szCs w:val="28"/>
          <w:highlight w:val="none"/>
          <w:lang w:val="en-US" w:eastAsia="zh-CN"/>
        </w:rPr>
        <w:t>2、</w:t>
      </w:r>
      <w:r>
        <w:rPr>
          <w:rFonts w:hint="eastAsia"/>
          <w:b w:val="0"/>
          <w:bCs/>
          <w:color w:val="auto"/>
          <w:sz w:val="22"/>
          <w:szCs w:val="28"/>
          <w:highlight w:val="none"/>
        </w:rPr>
        <w:t>建设规模：</w:t>
      </w:r>
      <w:r>
        <w:rPr>
          <w:rFonts w:hint="eastAsia"/>
          <w:b w:val="0"/>
          <w:bCs/>
          <w:color w:val="auto"/>
          <w:sz w:val="22"/>
          <w:szCs w:val="28"/>
          <w:highlight w:val="none"/>
          <w:u w:val="single"/>
          <w:lang w:val="en-US" w:eastAsia="zh-CN"/>
        </w:rPr>
        <w:t>项目总建筑面积 107608.36平方米，其中：地上建筑面积70902.49平方米，地下建筑面积36705.87平方米。项目按三甲精神专科医院标准建设，设置床位800张，新建设备用房、科研办公楼、综合门诊楼、综合住院楼、心身医学中心等。</w:t>
      </w:r>
    </w:p>
    <w:p w14:paraId="02C54B49">
      <w:pPr>
        <w:pStyle w:val="20"/>
        <w:keepNext w:val="0"/>
        <w:keepLines w:val="0"/>
        <w:pageBreakBefore w:val="0"/>
        <w:widowControl/>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440" w:firstLineChars="200"/>
        <w:textAlignment w:val="auto"/>
        <w:rPr>
          <w:rFonts w:hint="default" w:eastAsia="宋体"/>
          <w:b/>
          <w:color w:val="auto"/>
          <w:sz w:val="22"/>
          <w:szCs w:val="28"/>
          <w:highlight w:val="none"/>
          <w:lang w:val="en-US" w:eastAsia="zh-CN"/>
        </w:rPr>
      </w:pPr>
      <w:r>
        <w:rPr>
          <w:rFonts w:hint="eastAsia" w:cs="宋体"/>
          <w:color w:val="auto"/>
          <w:kern w:val="2"/>
          <w:sz w:val="22"/>
          <w:szCs w:val="22"/>
          <w:highlight w:val="none"/>
          <w:lang w:eastAsia="zh-CN"/>
        </w:rPr>
        <w:t>本次招标控制价</w:t>
      </w:r>
      <w:r>
        <w:rPr>
          <w:rFonts w:hint="eastAsia" w:ascii="宋体" w:hAnsi="宋体" w:cs="宋体"/>
          <w:color w:val="auto"/>
          <w:kern w:val="2"/>
          <w:sz w:val="22"/>
          <w:szCs w:val="22"/>
          <w:highlight w:val="none"/>
        </w:rPr>
        <w:t>：</w:t>
      </w:r>
      <w:r>
        <w:rPr>
          <w:rFonts w:hint="eastAsia" w:cs="宋体"/>
          <w:color w:val="auto"/>
          <w:kern w:val="2"/>
          <w:sz w:val="22"/>
          <w:szCs w:val="22"/>
          <w:highlight w:val="none"/>
          <w:u w:val="single"/>
          <w:lang w:val="en-US" w:eastAsia="zh-CN"/>
        </w:rPr>
        <w:t>约107万</w:t>
      </w:r>
      <w:r>
        <w:rPr>
          <w:rFonts w:hint="eastAsia" w:ascii="宋体" w:hAnsi="宋体" w:cs="宋体"/>
          <w:color w:val="auto"/>
          <w:kern w:val="2"/>
          <w:sz w:val="22"/>
          <w:szCs w:val="22"/>
          <w:highlight w:val="none"/>
          <w:u w:val="single"/>
        </w:rPr>
        <w:t>元</w:t>
      </w:r>
      <w:r>
        <w:rPr>
          <w:rFonts w:hint="eastAsia" w:cs="宋体"/>
          <w:color w:val="auto"/>
          <w:kern w:val="2"/>
          <w:sz w:val="22"/>
          <w:szCs w:val="22"/>
          <w:highlight w:val="none"/>
          <w:u w:val="single"/>
          <w:lang w:val="en-US" w:eastAsia="zh-CN"/>
        </w:rPr>
        <w:t xml:space="preserve"> （具体以审定后的招标控制价为准）</w:t>
      </w:r>
      <w:r>
        <w:rPr>
          <w:rFonts w:hint="eastAsia"/>
          <w:b w:val="0"/>
          <w:bCs/>
          <w:color w:val="auto"/>
          <w:sz w:val="22"/>
          <w:szCs w:val="28"/>
          <w:highlight w:val="none"/>
        </w:rPr>
        <w:t>。</w:t>
      </w:r>
    </w:p>
    <w:p w14:paraId="1447210A">
      <w:pPr>
        <w:pStyle w:val="20"/>
        <w:keepNext w:val="0"/>
        <w:keepLines w:val="0"/>
        <w:pageBreakBefore w:val="0"/>
        <w:widowControl/>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440" w:firstLineChars="200"/>
        <w:textAlignment w:val="auto"/>
        <w:rPr>
          <w:rFonts w:hint="eastAsia" w:cs="宋体"/>
          <w:color w:val="auto"/>
          <w:kern w:val="0"/>
          <w:sz w:val="22"/>
          <w:szCs w:val="22"/>
          <w:highlight w:val="none"/>
          <w:u w:val="single"/>
          <w:lang w:val="en-US" w:eastAsia="zh-CN"/>
        </w:rPr>
      </w:pPr>
      <w:r>
        <w:rPr>
          <w:rFonts w:hint="eastAsia" w:cs="宋体"/>
          <w:color w:val="auto"/>
          <w:kern w:val="2"/>
          <w:sz w:val="22"/>
          <w:szCs w:val="22"/>
          <w:highlight w:val="none"/>
          <w:lang w:val="en-US" w:eastAsia="zh-CN"/>
        </w:rPr>
        <w:t>3</w:t>
      </w:r>
      <w:r>
        <w:rPr>
          <w:rFonts w:hint="eastAsia" w:ascii="宋体" w:hAnsi="宋体" w:cs="宋体"/>
          <w:color w:val="auto"/>
          <w:kern w:val="2"/>
          <w:sz w:val="22"/>
          <w:szCs w:val="22"/>
          <w:highlight w:val="none"/>
        </w:rPr>
        <w:t>、招标范围</w:t>
      </w:r>
      <w:r>
        <w:rPr>
          <w:rFonts w:hint="eastAsia" w:ascii="宋体" w:hAnsi="宋体" w:cs="宋体"/>
          <w:color w:val="0000FF"/>
          <w:kern w:val="2"/>
          <w:sz w:val="22"/>
          <w:szCs w:val="22"/>
          <w:highlight w:val="none"/>
        </w:rPr>
        <w:t>：</w:t>
      </w:r>
      <w:r>
        <w:rPr>
          <w:rFonts w:hint="eastAsia" w:cs="宋体"/>
          <w:color w:val="auto"/>
          <w:kern w:val="0"/>
          <w:sz w:val="22"/>
          <w:szCs w:val="22"/>
          <w:highlight w:val="none"/>
          <w:u w:val="single"/>
          <w:lang w:val="en-US" w:eastAsia="zh-CN"/>
        </w:rPr>
        <w:t>绍兴市第七人民医院新院区建设工程室内分布专业图纸范围内的地下车库（B1F+B2F）、南区平层、北区平层、电梯设施等的分布线系统所有内容，包括设备采购、室内分布施工图的进一步深化设计、预埋管、套管及其封堵、设备材料供货、运输、卸货、保管、安装、调试、检测、并最终通过验收，取得《准予接入公用电信网通知书》（无线室分），提交相关技术资料以及质保期内的维修保养等。</w:t>
      </w:r>
    </w:p>
    <w:p w14:paraId="4340C29E">
      <w:pPr>
        <w:pStyle w:val="20"/>
        <w:keepNext w:val="0"/>
        <w:keepLines w:val="0"/>
        <w:pageBreakBefore w:val="0"/>
        <w:widowControl/>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440" w:firstLineChars="200"/>
        <w:textAlignment w:val="auto"/>
        <w:rPr>
          <w:rFonts w:hint="default" w:ascii="宋体" w:hAnsi="宋体" w:eastAsia="宋体" w:cs="宋体"/>
          <w:color w:val="auto"/>
          <w:kern w:val="0"/>
          <w:sz w:val="22"/>
          <w:szCs w:val="22"/>
          <w:highlight w:val="none"/>
          <w:u w:val="single"/>
          <w:lang w:val="en-US" w:eastAsia="zh-CN"/>
        </w:rPr>
      </w:pPr>
      <w:r>
        <w:rPr>
          <w:rFonts w:hint="eastAsia" w:cs="宋体"/>
          <w:color w:val="auto"/>
          <w:kern w:val="0"/>
          <w:sz w:val="22"/>
          <w:szCs w:val="22"/>
          <w:highlight w:val="none"/>
          <w:u w:val="single"/>
          <w:lang w:val="en-US" w:eastAsia="zh-CN"/>
        </w:rPr>
        <w:t>如图纸需二次深化，中标人需自行或委托有设计资质的单位对图纸进行二次深化(中标之前设计院未修改到位的，需由中标人负责深化，</w:t>
      </w:r>
      <w:r>
        <w:rPr>
          <w:rFonts w:hint="eastAsia" w:cs="宋体"/>
          <w:color w:val="auto"/>
          <w:kern w:val="0"/>
          <w:sz w:val="22"/>
          <w:szCs w:val="22"/>
          <w:highlight w:val="none"/>
          <w:u w:val="single"/>
          <w:lang w:val="en-US" w:eastAsia="zh-CN"/>
        </w:rPr>
        <w:t>投标时承诺的信号提升方案需由中标人负责深化</w:t>
      </w:r>
      <w:r>
        <w:rPr>
          <w:rFonts w:hint="eastAsia" w:cs="宋体"/>
          <w:color w:val="auto"/>
          <w:kern w:val="0"/>
          <w:sz w:val="22"/>
          <w:szCs w:val="22"/>
          <w:highlight w:val="none"/>
          <w:u w:val="single"/>
          <w:lang w:val="en-US" w:eastAsia="zh-CN"/>
        </w:rPr>
        <w:t>)，要求二次深化图加盖相应资质的章，经总包设计院审核认可并盖章，且优化方案必须经过招标人认可方能最终实施(如有图纸、清单不明确或缺项的内容须无条件按招标人要求进行设计和施工，并最终通过验收)，各种相关一切费用不再增加。图纸中设备或材料若已有变更升级的，则相应设备或材料需变更为升级后的设备或材料并经招标人同意，费用也不再增加。招标人有权增减工作范围，该费用应予以增减。</w:t>
      </w:r>
    </w:p>
    <w:p w14:paraId="655C2CCE">
      <w:pPr>
        <w:pStyle w:val="20"/>
        <w:keepNext w:val="0"/>
        <w:keepLines w:val="0"/>
        <w:pageBreakBefore w:val="0"/>
        <w:widowControl/>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440" w:firstLineChars="200"/>
        <w:textAlignment w:val="auto"/>
        <w:rPr>
          <w:rFonts w:hint="eastAsia" w:ascii="宋体" w:hAnsi="宋体" w:cs="宋体"/>
          <w:color w:val="auto"/>
          <w:kern w:val="2"/>
          <w:sz w:val="22"/>
          <w:szCs w:val="22"/>
          <w:highlight w:val="none"/>
        </w:rPr>
      </w:pPr>
      <w:r>
        <w:rPr>
          <w:rFonts w:hint="eastAsia" w:ascii="宋体" w:hAnsi="宋体" w:cs="宋体"/>
          <w:color w:val="auto"/>
          <w:kern w:val="2"/>
          <w:sz w:val="22"/>
          <w:szCs w:val="22"/>
          <w:highlight w:val="none"/>
        </w:rPr>
        <w:t>4、资金来源：</w:t>
      </w:r>
      <w:r>
        <w:rPr>
          <w:rFonts w:hint="eastAsia" w:cs="宋体"/>
          <w:color w:val="auto"/>
          <w:kern w:val="2"/>
          <w:sz w:val="22"/>
          <w:szCs w:val="22"/>
          <w:highlight w:val="none"/>
          <w:u w:val="single"/>
          <w:lang w:val="en-US" w:eastAsia="zh-CN"/>
        </w:rPr>
        <w:t>财政</w:t>
      </w:r>
      <w:r>
        <w:rPr>
          <w:rFonts w:hint="eastAsia" w:ascii="宋体" w:hAnsi="宋体" w:cs="宋体"/>
          <w:color w:val="auto"/>
          <w:kern w:val="2"/>
          <w:sz w:val="22"/>
          <w:szCs w:val="22"/>
          <w:highlight w:val="none"/>
        </w:rPr>
        <w:t>。</w:t>
      </w:r>
    </w:p>
    <w:p w14:paraId="20412AD2">
      <w:pPr>
        <w:pStyle w:val="20"/>
        <w:keepNext w:val="0"/>
        <w:keepLines w:val="0"/>
        <w:pageBreakBefore w:val="0"/>
        <w:widowControl/>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440" w:firstLineChars="200"/>
        <w:textAlignment w:val="auto"/>
        <w:rPr>
          <w:rFonts w:hint="eastAsia" w:ascii="宋体" w:hAnsi="宋体" w:cs="宋体"/>
          <w:color w:val="auto"/>
          <w:kern w:val="2"/>
          <w:sz w:val="22"/>
          <w:szCs w:val="22"/>
          <w:highlight w:val="none"/>
        </w:rPr>
      </w:pPr>
      <w:r>
        <w:rPr>
          <w:rFonts w:hint="eastAsia" w:ascii="宋体" w:hAnsi="宋体" w:cs="宋体"/>
          <w:color w:val="auto"/>
          <w:kern w:val="2"/>
          <w:sz w:val="22"/>
          <w:szCs w:val="22"/>
          <w:highlight w:val="none"/>
        </w:rPr>
        <w:t>5、</w:t>
      </w:r>
      <w:r>
        <w:rPr>
          <w:rFonts w:hint="eastAsia" w:cs="宋体"/>
          <w:color w:val="auto"/>
          <w:kern w:val="2"/>
          <w:sz w:val="22"/>
          <w:szCs w:val="22"/>
          <w:highlight w:val="none"/>
          <w:lang w:eastAsia="zh-CN"/>
        </w:rPr>
        <w:t>项目工期</w:t>
      </w:r>
      <w:r>
        <w:rPr>
          <w:rFonts w:hint="eastAsia" w:ascii="宋体" w:hAnsi="宋体" w:cs="宋体"/>
          <w:color w:val="auto"/>
          <w:kern w:val="2"/>
          <w:sz w:val="22"/>
          <w:szCs w:val="22"/>
          <w:highlight w:val="none"/>
        </w:rPr>
        <w:t>：</w:t>
      </w:r>
      <w:r>
        <w:rPr>
          <w:rFonts w:hint="eastAsia" w:cs="宋体"/>
          <w:color w:val="auto"/>
          <w:kern w:val="0"/>
          <w:sz w:val="22"/>
          <w:szCs w:val="22"/>
          <w:highlight w:val="none"/>
          <w:u w:val="single"/>
          <w:lang w:val="en-US" w:eastAsia="zh-CN"/>
        </w:rPr>
        <w:t>90日历天，并不得影响总包总进度计划（以招标人发出的开工指令为准，至本项目</w:t>
      </w:r>
      <w:r>
        <w:rPr>
          <w:rFonts w:hint="eastAsia" w:cs="宋体"/>
          <w:color w:val="auto"/>
          <w:kern w:val="0"/>
          <w:sz w:val="22"/>
          <w:szCs w:val="22"/>
          <w:highlight w:val="none"/>
          <w:u w:val="single"/>
          <w:lang w:eastAsia="zh-CN"/>
        </w:rPr>
        <w:t>取得《准予接入公用电信网通知书》（无线室分）</w:t>
      </w:r>
      <w:r>
        <w:rPr>
          <w:rFonts w:hint="eastAsia" w:cs="宋体"/>
          <w:color w:val="auto"/>
          <w:kern w:val="0"/>
          <w:sz w:val="22"/>
          <w:szCs w:val="22"/>
          <w:highlight w:val="none"/>
          <w:u w:val="single"/>
          <w:lang w:val="en-US" w:eastAsia="zh-CN"/>
        </w:rPr>
        <w:t>之日止）。</w:t>
      </w:r>
    </w:p>
    <w:p w14:paraId="6F552EFF">
      <w:pPr>
        <w:pStyle w:val="20"/>
        <w:keepNext w:val="0"/>
        <w:keepLines w:val="0"/>
        <w:pageBreakBefore w:val="0"/>
        <w:widowControl/>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440" w:firstLineChars="200"/>
        <w:textAlignment w:val="auto"/>
        <w:rPr>
          <w:rFonts w:hint="eastAsia" w:ascii="宋体" w:hAnsi="宋体" w:cs="宋体"/>
          <w:color w:val="auto"/>
          <w:kern w:val="2"/>
          <w:sz w:val="22"/>
          <w:szCs w:val="22"/>
          <w:highlight w:val="none"/>
        </w:rPr>
      </w:pPr>
      <w:r>
        <w:rPr>
          <w:rFonts w:hint="eastAsia" w:cs="宋体"/>
          <w:color w:val="auto"/>
          <w:kern w:val="2"/>
          <w:sz w:val="22"/>
          <w:szCs w:val="22"/>
          <w:highlight w:val="none"/>
          <w:lang w:val="en-US" w:eastAsia="zh-CN"/>
        </w:rPr>
        <w:t>6</w:t>
      </w:r>
      <w:r>
        <w:rPr>
          <w:rFonts w:hint="eastAsia" w:ascii="宋体" w:hAnsi="宋体" w:cs="宋体"/>
          <w:color w:val="auto"/>
          <w:kern w:val="2"/>
          <w:sz w:val="22"/>
          <w:szCs w:val="22"/>
          <w:highlight w:val="none"/>
        </w:rPr>
        <w:t>、质量要求：</w:t>
      </w:r>
      <w:r>
        <w:rPr>
          <w:rFonts w:hint="eastAsia" w:ascii="宋体" w:hAnsi="宋体" w:eastAsia="宋体" w:cs="宋体"/>
          <w:color w:val="auto"/>
          <w:kern w:val="0"/>
          <w:sz w:val="22"/>
          <w:szCs w:val="22"/>
          <w:highlight w:val="none"/>
          <w:u w:val="single"/>
          <w:lang w:val="en-US" w:eastAsia="zh-CN"/>
        </w:rPr>
        <w:t>合格并</w:t>
      </w:r>
      <w:r>
        <w:rPr>
          <w:rFonts w:hint="eastAsia" w:ascii="宋体" w:hAnsi="宋体" w:eastAsia="宋体" w:cs="宋体"/>
          <w:color w:val="auto"/>
          <w:kern w:val="0"/>
          <w:sz w:val="22"/>
          <w:szCs w:val="22"/>
          <w:highlight w:val="none"/>
          <w:u w:val="single"/>
          <w:lang w:eastAsia="zh-CN"/>
        </w:rPr>
        <w:t>取得《准予接入公用电信网通知书》（无线室分）</w:t>
      </w:r>
      <w:r>
        <w:rPr>
          <w:rFonts w:hint="eastAsia" w:ascii="宋体" w:hAnsi="宋体" w:eastAsia="宋体" w:cs="宋体"/>
          <w:color w:val="auto"/>
          <w:kern w:val="0"/>
          <w:sz w:val="22"/>
          <w:szCs w:val="22"/>
          <w:highlight w:val="none"/>
          <w:u w:val="none"/>
          <w:lang w:eastAsia="zh-CN"/>
        </w:rPr>
        <w:t>。</w:t>
      </w:r>
    </w:p>
    <w:p w14:paraId="6A8F332D">
      <w:pPr>
        <w:pStyle w:val="20"/>
        <w:keepNext w:val="0"/>
        <w:keepLines w:val="0"/>
        <w:pageBreakBefore w:val="0"/>
        <w:widowControl/>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440" w:firstLineChars="200"/>
        <w:textAlignment w:val="auto"/>
        <w:rPr>
          <w:rFonts w:hint="eastAsia" w:ascii="宋体" w:hAnsi="宋体" w:cs="宋体"/>
          <w:color w:val="auto"/>
          <w:kern w:val="2"/>
          <w:sz w:val="22"/>
          <w:szCs w:val="22"/>
          <w:highlight w:val="none"/>
        </w:rPr>
      </w:pPr>
      <w:r>
        <w:rPr>
          <w:rFonts w:hint="eastAsia" w:cs="宋体"/>
          <w:color w:val="auto"/>
          <w:kern w:val="2"/>
          <w:sz w:val="22"/>
          <w:szCs w:val="22"/>
          <w:highlight w:val="none"/>
          <w:lang w:val="en-US" w:eastAsia="zh-CN"/>
        </w:rPr>
        <w:t>7、</w:t>
      </w:r>
      <w:r>
        <w:rPr>
          <w:rFonts w:hint="eastAsia" w:ascii="宋体" w:hAnsi="宋体" w:cs="宋体"/>
          <w:color w:val="auto"/>
          <w:kern w:val="2"/>
          <w:sz w:val="22"/>
          <w:szCs w:val="22"/>
          <w:highlight w:val="none"/>
        </w:rPr>
        <w:t>资格审查方式：</w:t>
      </w:r>
      <w:r>
        <w:rPr>
          <w:rFonts w:hint="eastAsia" w:ascii="宋体" w:hAnsi="宋体" w:cs="宋体"/>
          <w:color w:val="auto"/>
          <w:kern w:val="2"/>
          <w:sz w:val="22"/>
          <w:szCs w:val="22"/>
          <w:highlight w:val="none"/>
          <w:u w:val="single"/>
        </w:rPr>
        <w:t>资格后审</w:t>
      </w:r>
      <w:r>
        <w:rPr>
          <w:rFonts w:hint="eastAsia" w:ascii="宋体" w:hAnsi="宋体" w:cs="宋体"/>
          <w:color w:val="auto"/>
          <w:kern w:val="2"/>
          <w:sz w:val="22"/>
          <w:szCs w:val="22"/>
          <w:highlight w:val="none"/>
        </w:rPr>
        <w:t>。</w:t>
      </w:r>
    </w:p>
    <w:p w14:paraId="4A9FECA5">
      <w:pPr>
        <w:pStyle w:val="20"/>
        <w:keepNext w:val="0"/>
        <w:keepLines w:val="0"/>
        <w:pageBreakBefore w:val="0"/>
        <w:widowControl/>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440" w:firstLineChars="200"/>
        <w:textAlignment w:val="auto"/>
        <w:rPr>
          <w:rFonts w:hint="eastAsia" w:ascii="宋体" w:hAnsi="宋体" w:cs="宋体"/>
          <w:color w:val="auto"/>
          <w:kern w:val="2"/>
          <w:sz w:val="22"/>
          <w:szCs w:val="22"/>
          <w:highlight w:val="none"/>
          <w:lang w:val="en-US" w:eastAsia="zh-CN"/>
        </w:rPr>
      </w:pPr>
      <w:r>
        <w:rPr>
          <w:rFonts w:hint="eastAsia" w:ascii="宋体" w:hAnsi="宋体" w:cs="宋体"/>
          <w:color w:val="auto"/>
          <w:kern w:val="2"/>
          <w:sz w:val="22"/>
          <w:szCs w:val="22"/>
          <w:highlight w:val="none"/>
          <w:lang w:val="en-US" w:eastAsia="zh-CN"/>
        </w:rPr>
        <w:t>8、是否属于政府采购工程☑否。</w:t>
      </w:r>
    </w:p>
    <w:p w14:paraId="7A0C8BBB">
      <w:pPr>
        <w:pStyle w:val="20"/>
        <w:keepNext w:val="0"/>
        <w:keepLines w:val="0"/>
        <w:pageBreakBefore w:val="0"/>
        <w:widowControl/>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440" w:firstLineChars="200"/>
        <w:textAlignment w:val="auto"/>
        <w:rPr>
          <w:rFonts w:hint="eastAsia" w:ascii="宋体" w:hAnsi="宋体" w:cs="宋体"/>
          <w:color w:val="auto"/>
          <w:kern w:val="2"/>
          <w:sz w:val="22"/>
          <w:szCs w:val="22"/>
          <w:highlight w:val="none"/>
        </w:rPr>
      </w:pPr>
      <w:r>
        <w:rPr>
          <w:rFonts w:hint="eastAsia" w:ascii="宋体" w:hAnsi="宋体" w:cs="宋体"/>
          <w:color w:val="auto"/>
          <w:kern w:val="2"/>
          <w:sz w:val="22"/>
          <w:szCs w:val="22"/>
          <w:highlight w:val="none"/>
          <w:lang w:val="en-US" w:eastAsia="zh-CN"/>
        </w:rPr>
        <w:t>9、是否专门面向中小企业预留：☑否。</w:t>
      </w:r>
    </w:p>
    <w:p w14:paraId="20A7392D">
      <w:pPr>
        <w:pStyle w:val="20"/>
        <w:keepNext w:val="0"/>
        <w:keepLines w:val="0"/>
        <w:pageBreakBefore w:val="0"/>
        <w:widowControl/>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440" w:firstLineChars="200"/>
        <w:textAlignment w:val="auto"/>
        <w:rPr>
          <w:rFonts w:hint="eastAsia" w:ascii="宋体" w:hAnsi="宋体" w:cs="宋体"/>
          <w:color w:val="auto"/>
          <w:kern w:val="2"/>
          <w:sz w:val="22"/>
          <w:szCs w:val="22"/>
          <w:highlight w:val="none"/>
        </w:rPr>
      </w:pPr>
      <w:r>
        <w:rPr>
          <w:rFonts w:hint="eastAsia" w:ascii="宋体" w:hAnsi="宋体" w:cs="宋体"/>
          <w:color w:val="auto"/>
          <w:kern w:val="2"/>
          <w:sz w:val="22"/>
          <w:szCs w:val="22"/>
          <w:highlight w:val="none"/>
        </w:rPr>
        <w:t>二、</w:t>
      </w:r>
      <w:r>
        <w:rPr>
          <w:rFonts w:hint="eastAsia" w:ascii="宋体" w:hAnsi="宋体" w:cs="宋体"/>
          <w:b/>
          <w:color w:val="auto"/>
          <w:kern w:val="0"/>
          <w:sz w:val="22"/>
          <w:szCs w:val="22"/>
          <w:highlight w:val="none"/>
        </w:rPr>
        <w:t>投标人资格要求</w:t>
      </w:r>
    </w:p>
    <w:p w14:paraId="20ACC6FC">
      <w:pPr>
        <w:pStyle w:val="20"/>
        <w:keepNext w:val="0"/>
        <w:keepLines w:val="0"/>
        <w:pageBreakBefore w:val="0"/>
        <w:widowControl/>
        <w:suppressLineNumbers w:val="0"/>
        <w:shd w:val="clear" w:color="auto" w:fill="FFFFFF"/>
        <w:kinsoku/>
        <w:wordWrap/>
        <w:overflowPunct/>
        <w:topLinePunct w:val="0"/>
        <w:autoSpaceDE/>
        <w:autoSpaceDN/>
        <w:bidi w:val="0"/>
        <w:adjustRightInd/>
        <w:snapToGrid w:val="0"/>
        <w:spacing w:before="0" w:beforeAutospacing="0" w:after="0" w:afterAutospacing="0" w:line="312" w:lineRule="auto"/>
        <w:ind w:left="0" w:leftChars="0" w:right="0" w:firstLine="440" w:firstLineChars="200"/>
        <w:textAlignment w:val="auto"/>
        <w:rPr>
          <w:rFonts w:hint="eastAsia" w:ascii="宋体" w:hAnsi="宋体" w:cs="宋体"/>
          <w:color w:val="auto"/>
          <w:kern w:val="2"/>
          <w:sz w:val="22"/>
          <w:szCs w:val="22"/>
          <w:highlight w:val="none"/>
          <w:u w:val="single"/>
        </w:rPr>
      </w:pPr>
      <w:r>
        <w:rPr>
          <w:rFonts w:hint="eastAsia" w:cs="宋体"/>
          <w:color w:val="auto"/>
          <w:kern w:val="2"/>
          <w:sz w:val="22"/>
          <w:szCs w:val="22"/>
          <w:highlight w:val="none"/>
          <w:lang w:val="en-US" w:eastAsia="zh-CN"/>
        </w:rPr>
        <w:t>1、</w:t>
      </w:r>
      <w:r>
        <w:rPr>
          <w:rFonts w:hint="eastAsia"/>
          <w:color w:val="auto"/>
          <w:sz w:val="22"/>
          <w:szCs w:val="28"/>
          <w:highlight w:val="none"/>
          <w:u w:val="single"/>
          <w:lang w:val="en-US" w:eastAsia="zh-CN"/>
        </w:rPr>
        <w:t>投标人</w:t>
      </w:r>
      <w:r>
        <w:rPr>
          <w:rFonts w:hint="eastAsia"/>
          <w:color w:val="auto"/>
          <w:sz w:val="22"/>
          <w:szCs w:val="28"/>
          <w:highlight w:val="none"/>
          <w:u w:val="single"/>
          <w:lang w:eastAsia="zh-CN"/>
        </w:rPr>
        <w:t>自</w:t>
      </w:r>
      <w:r>
        <w:rPr>
          <w:rFonts w:hint="eastAsia"/>
          <w:color w:val="auto"/>
          <w:sz w:val="22"/>
          <w:szCs w:val="28"/>
          <w:highlight w:val="none"/>
          <w:u w:val="single"/>
          <w:lang w:val="en-US" w:eastAsia="zh-CN"/>
        </w:rPr>
        <w:t>2023</w:t>
      </w:r>
      <w:r>
        <w:rPr>
          <w:rFonts w:hint="eastAsia"/>
          <w:color w:val="auto"/>
          <w:sz w:val="22"/>
          <w:szCs w:val="28"/>
          <w:highlight w:val="none"/>
          <w:u w:val="single"/>
          <w:lang w:eastAsia="zh-CN"/>
        </w:rPr>
        <w:t>年</w:t>
      </w:r>
      <w:r>
        <w:rPr>
          <w:rFonts w:hint="eastAsia"/>
          <w:color w:val="auto"/>
          <w:sz w:val="22"/>
          <w:szCs w:val="28"/>
          <w:highlight w:val="none"/>
          <w:u w:val="single"/>
          <w:lang w:val="en-US" w:eastAsia="zh-CN"/>
        </w:rPr>
        <w:t>7</w:t>
      </w:r>
      <w:r>
        <w:rPr>
          <w:rFonts w:hint="eastAsia"/>
          <w:color w:val="auto"/>
          <w:sz w:val="22"/>
          <w:szCs w:val="28"/>
          <w:highlight w:val="none"/>
          <w:u w:val="single"/>
          <w:lang w:eastAsia="zh-CN"/>
        </w:rPr>
        <w:t>月</w:t>
      </w:r>
      <w:r>
        <w:rPr>
          <w:rFonts w:hint="eastAsia"/>
          <w:color w:val="auto"/>
          <w:sz w:val="22"/>
          <w:szCs w:val="28"/>
          <w:highlight w:val="none"/>
          <w:u w:val="single"/>
          <w:lang w:val="en-US" w:eastAsia="zh-CN"/>
        </w:rPr>
        <w:t>1</w:t>
      </w:r>
      <w:r>
        <w:rPr>
          <w:rFonts w:hint="eastAsia"/>
          <w:color w:val="auto"/>
          <w:sz w:val="22"/>
          <w:szCs w:val="28"/>
          <w:highlight w:val="none"/>
          <w:u w:val="single"/>
          <w:lang w:eastAsia="zh-CN"/>
        </w:rPr>
        <w:t>日起至投标截止日止无行贿犯罪记录</w:t>
      </w:r>
      <w:r>
        <w:rPr>
          <w:rFonts w:hint="eastAsia"/>
          <w:color w:val="auto"/>
          <w:sz w:val="22"/>
          <w:szCs w:val="28"/>
          <w:highlight w:val="none"/>
          <w:u w:val="single"/>
          <w:shd w:val="clear" w:color="auto" w:fill="FCFCFC"/>
        </w:rPr>
        <w:t>（投标人提供承诺书）</w:t>
      </w:r>
      <w:r>
        <w:rPr>
          <w:rFonts w:hint="eastAsia"/>
          <w:color w:val="auto"/>
          <w:sz w:val="22"/>
          <w:szCs w:val="28"/>
          <w:highlight w:val="none"/>
          <w:shd w:val="clear" w:color="auto" w:fill="FCFCFC"/>
        </w:rPr>
        <w:t>。</w:t>
      </w:r>
    </w:p>
    <w:p w14:paraId="03EF18BF">
      <w:pPr>
        <w:pStyle w:val="20"/>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val="0"/>
        <w:spacing w:before="0" w:beforeAutospacing="0" w:after="0" w:afterAutospacing="0" w:line="312" w:lineRule="auto"/>
        <w:ind w:left="0" w:leftChars="0" w:right="0" w:rightChars="0" w:firstLine="440" w:firstLineChars="200"/>
        <w:textAlignment w:val="auto"/>
        <w:rPr>
          <w:rFonts w:hint="default" w:ascii="宋体" w:hAnsi="宋体" w:eastAsia="宋体"/>
          <w:b/>
          <w:bCs/>
          <w:i/>
          <w:iCs/>
          <w:color w:val="auto"/>
          <w:sz w:val="22"/>
          <w:szCs w:val="28"/>
          <w:highlight w:val="none"/>
          <w:u w:val="single"/>
          <w:lang w:val="en-US" w:eastAsia="zh-CN"/>
        </w:rPr>
      </w:pPr>
      <w:r>
        <w:rPr>
          <w:rFonts w:hint="eastAsia" w:ascii="宋体" w:hAnsi="宋体" w:eastAsia="宋体"/>
          <w:color w:val="auto"/>
          <w:sz w:val="22"/>
          <w:szCs w:val="28"/>
          <w:highlight w:val="none"/>
          <w:lang w:eastAsia="zh-CN"/>
        </w:rPr>
        <w:t>2、</w:t>
      </w:r>
      <w:r>
        <w:rPr>
          <w:rFonts w:hint="eastAsia" w:ascii="宋体" w:hAnsi="宋体" w:eastAsia="宋体"/>
          <w:color w:val="auto"/>
          <w:sz w:val="22"/>
          <w:szCs w:val="28"/>
          <w:highlight w:val="none"/>
          <w:u w:val="single"/>
          <w:lang w:val="en-US" w:eastAsia="zh-CN"/>
        </w:rPr>
        <w:t>投标人未被列入建筑市场严重失信名单（以全国建筑市场监管公共服务平台黑名单记录、失信联合惩戒记录和浙江省建筑市场监管公共服务系统严重失信名单的信息为准）；</w:t>
      </w:r>
    </w:p>
    <w:p w14:paraId="060FB6E5">
      <w:pPr>
        <w:pStyle w:val="20"/>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val="0"/>
        <w:spacing w:before="0" w:beforeAutospacing="0" w:after="0" w:afterAutospacing="0" w:line="312" w:lineRule="auto"/>
        <w:ind w:left="0" w:leftChars="0" w:right="0" w:rightChars="0" w:firstLine="440" w:firstLineChars="200"/>
        <w:textAlignment w:val="auto"/>
        <w:rPr>
          <w:rFonts w:hint="eastAsia" w:ascii="宋体" w:hAnsi="宋体" w:eastAsia="宋体"/>
          <w:color w:val="auto"/>
          <w:sz w:val="22"/>
          <w:szCs w:val="28"/>
          <w:highlight w:val="none"/>
          <w:lang w:val="en-US" w:eastAsia="zh-CN"/>
        </w:rPr>
      </w:pPr>
      <w:r>
        <w:rPr>
          <w:rFonts w:hint="eastAsia" w:ascii="宋体" w:hAnsi="宋体" w:eastAsia="宋体"/>
          <w:color w:val="auto"/>
          <w:sz w:val="22"/>
          <w:szCs w:val="28"/>
          <w:highlight w:val="none"/>
          <w:lang w:val="en-US" w:eastAsia="zh-CN"/>
        </w:rPr>
        <w:t>3、投标人投标资格业绩：</w:t>
      </w:r>
      <w:r>
        <w:rPr>
          <w:rFonts w:hint="eastAsia" w:ascii="宋体" w:hAnsi="宋体" w:eastAsia="宋体"/>
          <w:color w:val="auto"/>
          <w:sz w:val="22"/>
          <w:szCs w:val="28"/>
          <w:highlight w:val="none"/>
          <w:u w:val="single"/>
          <w:lang w:val="en-US" w:eastAsia="zh-CN"/>
        </w:rPr>
        <w:t>自2021年7月1日以来，完成过单个合同金额80万元及以上的建筑工程的无线室分项目。</w:t>
      </w:r>
    </w:p>
    <w:p w14:paraId="4DF9EDAD">
      <w:pPr>
        <w:pStyle w:val="20"/>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val="0"/>
        <w:spacing w:before="0" w:beforeAutospacing="0" w:after="0" w:afterAutospacing="0" w:line="312" w:lineRule="auto"/>
        <w:ind w:left="0" w:leftChars="0" w:right="0" w:rightChars="0" w:firstLine="440" w:firstLineChars="200"/>
        <w:textAlignment w:val="auto"/>
        <w:rPr>
          <w:rFonts w:hint="eastAsia" w:ascii="宋体" w:hAnsi="宋体" w:eastAsia="宋体"/>
          <w:color w:val="auto"/>
          <w:sz w:val="22"/>
          <w:szCs w:val="28"/>
          <w:highlight w:val="none"/>
          <w:lang w:val="en-US" w:eastAsia="zh-CN"/>
        </w:rPr>
      </w:pPr>
      <w:r>
        <w:rPr>
          <w:rFonts w:hint="eastAsia" w:ascii="宋体" w:hAnsi="宋体" w:eastAsia="宋体"/>
          <w:color w:val="auto"/>
          <w:sz w:val="22"/>
          <w:szCs w:val="28"/>
          <w:highlight w:val="none"/>
          <w:lang w:val="en-US" w:eastAsia="zh-CN"/>
        </w:rPr>
        <w:t>备注：</w:t>
      </w:r>
    </w:p>
    <w:p w14:paraId="371871AE">
      <w:pPr>
        <w:pStyle w:val="20"/>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val="0"/>
        <w:spacing w:before="0" w:beforeAutospacing="0" w:after="0" w:afterAutospacing="0" w:line="312" w:lineRule="auto"/>
        <w:ind w:left="0" w:leftChars="0" w:right="0" w:rightChars="0" w:firstLine="440" w:firstLineChars="200"/>
        <w:textAlignment w:val="auto"/>
        <w:rPr>
          <w:rFonts w:hint="eastAsia" w:ascii="宋体" w:hAnsi="宋体" w:eastAsia="宋体"/>
          <w:color w:val="auto"/>
          <w:sz w:val="22"/>
          <w:szCs w:val="28"/>
          <w:highlight w:val="none"/>
          <w:lang w:val="en-US" w:eastAsia="zh-CN"/>
        </w:rPr>
      </w:pPr>
      <w:r>
        <w:rPr>
          <w:rFonts w:hint="eastAsia" w:ascii="宋体" w:hAnsi="宋体" w:eastAsia="宋体"/>
          <w:color w:val="auto"/>
          <w:sz w:val="22"/>
          <w:szCs w:val="28"/>
          <w:highlight w:val="none"/>
          <w:lang w:val="en-US" w:eastAsia="zh-CN"/>
        </w:rPr>
        <w:t>①业绩证明资料须同时提供：提供业绩合同、通信发展办（或通建办）出具的《准予接入公网通知书》；</w:t>
      </w:r>
    </w:p>
    <w:p w14:paraId="53A6ECE8">
      <w:pPr>
        <w:pStyle w:val="20"/>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val="0"/>
        <w:spacing w:before="0" w:beforeAutospacing="0" w:after="0" w:afterAutospacing="0" w:line="312" w:lineRule="auto"/>
        <w:ind w:left="0" w:leftChars="0" w:right="0" w:rightChars="0" w:firstLine="440" w:firstLineChars="200"/>
        <w:textAlignment w:val="auto"/>
        <w:rPr>
          <w:rFonts w:hint="eastAsia" w:ascii="宋体" w:hAnsi="宋体" w:eastAsia="宋体"/>
          <w:color w:val="auto"/>
          <w:sz w:val="22"/>
          <w:szCs w:val="28"/>
          <w:highlight w:val="none"/>
          <w:lang w:val="en-US" w:eastAsia="zh-CN"/>
        </w:rPr>
      </w:pPr>
      <w:r>
        <w:rPr>
          <w:rFonts w:hint="eastAsia" w:ascii="宋体" w:hAnsi="宋体" w:eastAsia="宋体"/>
          <w:color w:val="auto"/>
          <w:sz w:val="22"/>
          <w:szCs w:val="28"/>
          <w:highlight w:val="none"/>
          <w:lang w:val="en-US" w:eastAsia="zh-CN"/>
        </w:rPr>
        <w:t>②业绩时间以《准予接入公网通知书》上的时间为准，金额以合同为准；</w:t>
      </w:r>
    </w:p>
    <w:p w14:paraId="304D83F9">
      <w:pPr>
        <w:pStyle w:val="20"/>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val="0"/>
        <w:spacing w:before="0" w:beforeAutospacing="0" w:after="0" w:afterAutospacing="0" w:line="312" w:lineRule="auto"/>
        <w:ind w:left="0" w:leftChars="0" w:right="0" w:rightChars="0" w:firstLine="440" w:firstLineChars="200"/>
        <w:textAlignment w:val="auto"/>
        <w:rPr>
          <w:rFonts w:hint="eastAsia" w:ascii="宋体" w:hAnsi="宋体" w:eastAsia="宋体"/>
          <w:color w:val="auto"/>
          <w:sz w:val="22"/>
          <w:szCs w:val="28"/>
          <w:highlight w:val="none"/>
          <w:lang w:val="en-US" w:eastAsia="zh-CN"/>
        </w:rPr>
      </w:pPr>
      <w:r>
        <w:rPr>
          <w:rFonts w:hint="eastAsia" w:ascii="宋体" w:hAnsi="宋体" w:eastAsia="宋体"/>
          <w:color w:val="auto"/>
          <w:sz w:val="22"/>
          <w:szCs w:val="28"/>
          <w:highlight w:val="none"/>
          <w:lang w:val="en-US" w:eastAsia="zh-CN"/>
        </w:rPr>
        <w:t>③项目其余特征内容在上述证明材料中未明确的（如综合类项目合同中无法体现无线室分的合同金额的），提供建设（代建）单位的证明材料，需加盖提供单位公章。</w:t>
      </w:r>
    </w:p>
    <w:p w14:paraId="0DE39CD3">
      <w:pPr>
        <w:pStyle w:val="20"/>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val="0"/>
        <w:spacing w:before="0" w:beforeAutospacing="0" w:after="0" w:afterAutospacing="0" w:line="312" w:lineRule="auto"/>
        <w:ind w:left="0" w:leftChars="0" w:right="0" w:rightChars="0" w:firstLine="440" w:firstLineChars="200"/>
        <w:textAlignment w:val="auto"/>
        <w:rPr>
          <w:rFonts w:hint="default" w:ascii="宋体" w:hAnsi="宋体" w:eastAsia="宋体"/>
          <w:color w:val="auto"/>
          <w:sz w:val="22"/>
          <w:szCs w:val="28"/>
          <w:highlight w:val="none"/>
          <w:lang w:val="en-US" w:eastAsia="zh-CN"/>
        </w:rPr>
      </w:pPr>
      <w:r>
        <w:rPr>
          <w:rFonts w:hint="eastAsia" w:ascii="宋体" w:hAnsi="宋体" w:eastAsia="宋体"/>
          <w:color w:val="auto"/>
          <w:sz w:val="22"/>
          <w:szCs w:val="28"/>
          <w:highlight w:val="none"/>
          <w:lang w:val="en-US" w:eastAsia="zh-CN"/>
        </w:rPr>
        <w:t>注：本项目中的“无线室分”是指：室内分布天线系统，是室内覆盖系统的重要组成部分，通过在建筑物内各个区域布放馈线及安装天线(或泄漏电缆)等措施，使信号均匀地分布在各区域，实现用户在任何时间、任何地方的移动通信。</w:t>
      </w:r>
    </w:p>
    <w:p w14:paraId="29F73E8B">
      <w:pPr>
        <w:pStyle w:val="20"/>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val="0"/>
        <w:spacing w:before="0" w:beforeAutospacing="0" w:after="0" w:afterAutospacing="0" w:line="312" w:lineRule="auto"/>
        <w:ind w:left="0" w:leftChars="0" w:right="0" w:rightChars="0" w:firstLine="440" w:firstLineChars="200"/>
        <w:textAlignment w:val="auto"/>
        <w:rPr>
          <w:rFonts w:hint="eastAsia"/>
          <w:color w:val="auto"/>
          <w:sz w:val="22"/>
          <w:szCs w:val="28"/>
          <w:highlight w:val="none"/>
        </w:rPr>
      </w:pPr>
      <w:r>
        <w:rPr>
          <w:rFonts w:hint="eastAsia"/>
          <w:color w:val="auto"/>
          <w:sz w:val="22"/>
          <w:szCs w:val="28"/>
          <w:highlight w:val="none"/>
          <w:lang w:val="en-US" w:eastAsia="zh-CN"/>
        </w:rPr>
        <w:t>4、</w:t>
      </w:r>
      <w:r>
        <w:rPr>
          <w:rFonts w:hint="eastAsia"/>
          <w:color w:val="auto"/>
          <w:sz w:val="22"/>
          <w:szCs w:val="28"/>
          <w:highlight w:val="none"/>
        </w:rPr>
        <w:t>本次招标</w:t>
      </w:r>
      <w:r>
        <w:rPr>
          <w:rFonts w:hint="eastAsia"/>
          <w:color w:val="auto"/>
          <w:sz w:val="22"/>
          <w:szCs w:val="28"/>
          <w:highlight w:val="none"/>
          <w:u w:val="single"/>
          <w:lang w:val="en-US" w:eastAsia="zh-CN"/>
        </w:rPr>
        <w:t>不</w:t>
      </w:r>
      <w:r>
        <w:rPr>
          <w:rFonts w:hint="eastAsia"/>
          <w:color w:val="auto"/>
          <w:sz w:val="22"/>
          <w:szCs w:val="28"/>
          <w:highlight w:val="none"/>
        </w:rPr>
        <w:t>联合体投标。</w:t>
      </w:r>
    </w:p>
    <w:p w14:paraId="746B9081">
      <w:pPr>
        <w:pStyle w:val="20"/>
        <w:keepNext w:val="0"/>
        <w:keepLines w:val="0"/>
        <w:pageBreakBefore w:val="0"/>
        <w:widowControl/>
        <w:numPr>
          <w:ilvl w:val="0"/>
          <w:numId w:val="0"/>
        </w:numPr>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442" w:firstLineChars="200"/>
        <w:textAlignment w:val="auto"/>
        <w:rPr>
          <w:rFonts w:hint="eastAsia" w:cs="宋体"/>
          <w:b/>
          <w:bCs/>
          <w:color w:val="auto"/>
          <w:kern w:val="2"/>
          <w:sz w:val="22"/>
          <w:szCs w:val="22"/>
          <w:highlight w:val="none"/>
          <w:lang w:val="en-US" w:eastAsia="zh-CN"/>
        </w:rPr>
      </w:pPr>
      <w:r>
        <w:rPr>
          <w:rFonts w:hint="eastAsia" w:ascii="宋体" w:hAnsi="宋体" w:cs="宋体"/>
          <w:b/>
          <w:bCs/>
          <w:color w:val="auto"/>
          <w:kern w:val="2"/>
          <w:sz w:val="22"/>
          <w:szCs w:val="22"/>
          <w:highlight w:val="none"/>
          <w:lang w:eastAsia="zh-CN"/>
        </w:rPr>
        <w:t>三、</w:t>
      </w:r>
      <w:r>
        <w:rPr>
          <w:rFonts w:hint="eastAsia" w:ascii="宋体" w:hAnsi="宋体" w:cs="宋体"/>
          <w:b/>
          <w:bCs/>
          <w:color w:val="auto"/>
          <w:kern w:val="2"/>
          <w:sz w:val="22"/>
          <w:szCs w:val="22"/>
          <w:highlight w:val="none"/>
        </w:rPr>
        <w:t>招标文件获取</w:t>
      </w:r>
    </w:p>
    <w:p w14:paraId="69AB2793">
      <w:pPr>
        <w:pStyle w:val="20"/>
        <w:keepNext w:val="0"/>
        <w:keepLines w:val="0"/>
        <w:pageBreakBefore w:val="0"/>
        <w:widowControl/>
        <w:numPr>
          <w:ilvl w:val="0"/>
          <w:numId w:val="0"/>
        </w:numPr>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440" w:firstLineChars="200"/>
        <w:textAlignment w:val="auto"/>
        <w:rPr>
          <w:rFonts w:hint="default" w:ascii="宋体" w:hAnsi="宋体" w:eastAsia="宋体" w:cs="宋体"/>
          <w:color w:val="auto"/>
          <w:kern w:val="2"/>
          <w:sz w:val="22"/>
          <w:szCs w:val="22"/>
          <w:highlight w:val="none"/>
          <w:u w:val="single"/>
          <w:lang w:val="en-US" w:eastAsia="zh-CN"/>
        </w:rPr>
      </w:pPr>
      <w:r>
        <w:rPr>
          <w:rFonts w:hint="eastAsia" w:cs="宋体"/>
          <w:color w:val="auto"/>
          <w:kern w:val="2"/>
          <w:sz w:val="22"/>
          <w:szCs w:val="22"/>
          <w:highlight w:val="none"/>
          <w:lang w:val="en-US" w:eastAsia="zh-CN"/>
        </w:rPr>
        <w:t>1</w:t>
      </w:r>
      <w:r>
        <w:rPr>
          <w:rFonts w:hint="eastAsia" w:ascii="宋体" w:hAnsi="宋体" w:cs="宋体"/>
          <w:color w:val="auto"/>
          <w:kern w:val="2"/>
          <w:sz w:val="22"/>
          <w:szCs w:val="22"/>
          <w:highlight w:val="none"/>
        </w:rPr>
        <w:t>、招标文件的获取</w:t>
      </w:r>
      <w:r>
        <w:rPr>
          <w:rFonts w:hint="eastAsia" w:cs="宋体"/>
          <w:color w:val="auto"/>
          <w:kern w:val="2"/>
          <w:sz w:val="22"/>
          <w:szCs w:val="22"/>
          <w:highlight w:val="none"/>
          <w:lang w:eastAsia="zh-CN"/>
        </w:rPr>
        <w:t>时间</w:t>
      </w:r>
      <w:r>
        <w:rPr>
          <w:rFonts w:hint="eastAsia" w:ascii="宋体" w:hAnsi="宋体" w:cs="宋体"/>
          <w:color w:val="auto"/>
          <w:kern w:val="2"/>
          <w:sz w:val="22"/>
          <w:szCs w:val="22"/>
          <w:highlight w:val="none"/>
        </w:rPr>
        <w:t>：</w:t>
      </w:r>
      <w:r>
        <w:rPr>
          <w:rFonts w:hint="eastAsia" w:cs="宋体"/>
          <w:color w:val="auto"/>
          <w:kern w:val="2"/>
          <w:sz w:val="22"/>
          <w:szCs w:val="22"/>
          <w:highlight w:val="none"/>
          <w:u w:val="single"/>
          <w:lang w:val="en-US" w:eastAsia="zh-CN"/>
        </w:rPr>
        <w:t>请于2026年  月  日08:30 时至2026年  月  日17:00</w:t>
      </w:r>
      <w:r>
        <w:rPr>
          <w:rFonts w:hint="eastAsia" w:cs="宋体"/>
          <w:color w:val="auto"/>
          <w:kern w:val="2"/>
          <w:sz w:val="22"/>
          <w:szCs w:val="22"/>
          <w:highlight w:val="none"/>
          <w:u w:val="single"/>
          <w:lang w:val="en-US" w:eastAsia="zh-CN"/>
        </w:rPr>
        <w:fldChar w:fldCharType="begin"/>
      </w:r>
      <w:r>
        <w:rPr>
          <w:rFonts w:hint="eastAsia" w:cs="宋体"/>
          <w:color w:val="auto"/>
          <w:kern w:val="2"/>
          <w:sz w:val="22"/>
          <w:szCs w:val="22"/>
          <w:highlight w:val="none"/>
          <w:u w:val="single"/>
          <w:lang w:val="en-US" w:eastAsia="zh-CN"/>
        </w:rPr>
        <w:instrText xml:space="preserve"> HYPERLINK "mailto:%E6%97%B6%EF%BC%88%E6%B3%95%E5%AE%9A%E5%85%AC%E4%BC%91%E6%97%A5%E3%80%81%E6%B3%95%E5%AE%9A%E8%8A%82%E5%81%87%E6%97%A5%E9%99%A4%E5%A4%96%EF%BC%89%EF%BC%8C%E5%9C%A8%E8%A7%84%E5%AE%9A%E6%97%B6%E9%97%B4%E5%86%85%E5%B0%86%E6%8A%95%E6%A0%87%E5%8D%95%E4%BD%8D%E4%BF%A1%E6%81%AF%E8%A1%A8%E5%8F%91%E9%80%81%E8%87%B3%E9%82%AE%E7%AE%B125164046@qq.com%EF%BC%8C%E9%80%BE%E6%9C%9F%E6%88%96%E5%8F%91%E9%94%99%E9%82%AE%E7%AE%B1%E5%9D%87%E4%B8%8D%E4%BA%88%E5%8F%97%E7%90%86%E3%80%82%E5%A6%82%E5%87%BA%E7%8E%B0%E9%87%8D%E5%A4%8D%E6%94%B6%E5%88%B0%E5%90%8C%E4%B8%80%E5%AE%B6%E6%8A%95%E6%A0%87%E5%8D%95%E4%BD%8D%E8%8E%B7%E5%8F%96%E6%8B%9B%E6%A0%87%E6%96%87%E4%BB%B6%E8%B5%84%E6%96%99%E7%9A%84%EF%BC%8C%E5%88%99%E4%BB%A5%E5%85%88%E6%94%B6%E5%88%B0%E8%80%85%E4%B8%BA%E5%87%86%E3%80%82" </w:instrText>
      </w:r>
      <w:r>
        <w:rPr>
          <w:rFonts w:hint="eastAsia" w:cs="宋体"/>
          <w:color w:val="auto"/>
          <w:kern w:val="2"/>
          <w:sz w:val="22"/>
          <w:szCs w:val="22"/>
          <w:highlight w:val="none"/>
          <w:u w:val="single"/>
          <w:lang w:val="en-US" w:eastAsia="zh-CN"/>
        </w:rPr>
        <w:fldChar w:fldCharType="separate"/>
      </w:r>
      <w:r>
        <w:rPr>
          <w:rFonts w:hint="eastAsia" w:cs="宋体"/>
          <w:color w:val="auto"/>
          <w:kern w:val="2"/>
          <w:sz w:val="22"/>
          <w:szCs w:val="22"/>
          <w:highlight w:val="none"/>
          <w:u w:val="single"/>
          <w:lang w:val="en-US" w:eastAsia="zh-CN"/>
        </w:rPr>
        <w:t>时，在规定时间内将投标单位信息表发送至邮箱3937356533@qq.com，逾期或发错邮箱均不予受理。如出现重复收到同一家投标单位获取招标文件资料的，则以先收到者为准。</w:t>
      </w:r>
      <w:r>
        <w:rPr>
          <w:rFonts w:hint="eastAsia" w:cs="宋体"/>
          <w:color w:val="auto"/>
          <w:kern w:val="2"/>
          <w:sz w:val="22"/>
          <w:szCs w:val="22"/>
          <w:highlight w:val="none"/>
          <w:u w:val="single"/>
          <w:lang w:val="en-US" w:eastAsia="zh-CN"/>
        </w:rPr>
        <w:fldChar w:fldCharType="end"/>
      </w:r>
    </w:p>
    <w:p w14:paraId="04E8AF54">
      <w:pPr>
        <w:pStyle w:val="20"/>
        <w:keepNext w:val="0"/>
        <w:keepLines w:val="0"/>
        <w:pageBreakBefore w:val="0"/>
        <w:widowControl/>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440" w:firstLineChars="200"/>
        <w:textAlignment w:val="auto"/>
        <w:rPr>
          <w:rFonts w:hint="eastAsia" w:ascii="宋体" w:hAnsi="宋体" w:cs="宋体"/>
          <w:color w:val="auto"/>
          <w:kern w:val="2"/>
          <w:sz w:val="22"/>
          <w:szCs w:val="22"/>
          <w:highlight w:val="none"/>
          <w:u w:val="single"/>
        </w:rPr>
      </w:pPr>
      <w:r>
        <w:rPr>
          <w:rFonts w:hint="eastAsia" w:cs="宋体"/>
          <w:color w:val="auto"/>
          <w:kern w:val="2"/>
          <w:sz w:val="22"/>
          <w:szCs w:val="22"/>
          <w:highlight w:val="none"/>
          <w:u w:val="none"/>
          <w:lang w:val="en-US" w:eastAsia="zh-CN"/>
        </w:rPr>
        <w:t>2、</w:t>
      </w:r>
      <w:r>
        <w:rPr>
          <w:rFonts w:hint="eastAsia" w:ascii="宋体" w:hAnsi="宋体" w:cs="宋体"/>
          <w:color w:val="auto"/>
          <w:kern w:val="2"/>
          <w:sz w:val="22"/>
          <w:szCs w:val="22"/>
          <w:highlight w:val="none"/>
          <w:u w:val="none"/>
        </w:rPr>
        <w:t>招标文件获取方式：</w:t>
      </w:r>
      <w:r>
        <w:rPr>
          <w:rFonts w:hint="eastAsia" w:cs="宋体"/>
          <w:color w:val="auto"/>
          <w:kern w:val="2"/>
          <w:sz w:val="22"/>
          <w:szCs w:val="22"/>
          <w:highlight w:val="none"/>
          <w:u w:val="none"/>
          <w:lang w:eastAsia="zh-CN"/>
        </w:rPr>
        <w:t>招标代理工作人员在收到有效邮件后，在规定时间内将招标文件以邮件的形式点对点发送</w:t>
      </w:r>
      <w:r>
        <w:rPr>
          <w:rFonts w:hint="eastAsia" w:ascii="宋体" w:hAnsi="宋体" w:cs="宋体"/>
          <w:color w:val="auto"/>
          <w:kern w:val="2"/>
          <w:sz w:val="22"/>
          <w:szCs w:val="22"/>
          <w:highlight w:val="none"/>
          <w:u w:val="none"/>
        </w:rPr>
        <w:t>。</w:t>
      </w:r>
    </w:p>
    <w:p w14:paraId="5938ADD6">
      <w:pPr>
        <w:pStyle w:val="20"/>
        <w:keepNext w:val="0"/>
        <w:keepLines w:val="0"/>
        <w:pageBreakBefore w:val="0"/>
        <w:widowControl/>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372"/>
        <w:jc w:val="center"/>
        <w:textAlignment w:val="auto"/>
        <w:rPr>
          <w:rFonts w:hint="default" w:ascii="宋体" w:hAnsi="宋体" w:cs="宋体"/>
          <w:color w:val="auto"/>
          <w:kern w:val="2"/>
          <w:sz w:val="21"/>
          <w:szCs w:val="21"/>
          <w:highlight w:val="none"/>
        </w:rPr>
      </w:pPr>
      <w:r>
        <w:rPr>
          <w:rFonts w:hint="eastAsia" w:ascii="宋体" w:hAnsi="宋体" w:cs="宋体"/>
          <w:color w:val="auto"/>
          <w:kern w:val="2"/>
          <w:sz w:val="21"/>
          <w:szCs w:val="21"/>
          <w:highlight w:val="none"/>
        </w:rPr>
        <w:t>投标单位信息表</w:t>
      </w:r>
    </w:p>
    <w:tbl>
      <w:tblPr>
        <w:tblStyle w:val="23"/>
        <w:tblW w:w="90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74"/>
        <w:gridCol w:w="2264"/>
        <w:gridCol w:w="2005"/>
        <w:gridCol w:w="2015"/>
      </w:tblGrid>
      <w:tr w14:paraId="6E8B2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74" w:type="dxa"/>
            <w:noWrap w:val="0"/>
            <w:vAlign w:val="top"/>
          </w:tcPr>
          <w:p w14:paraId="6FEACB00">
            <w:pPr>
              <w:pStyle w:val="20"/>
              <w:keepNext w:val="0"/>
              <w:keepLines w:val="0"/>
              <w:pageBreakBefore w:val="0"/>
              <w:widowControl/>
              <w:suppressLineNumbers w:val="0"/>
              <w:kinsoku/>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cs="宋体"/>
                <w:color w:val="auto"/>
                <w:kern w:val="2"/>
                <w:sz w:val="21"/>
                <w:szCs w:val="21"/>
                <w:highlight w:val="none"/>
                <w:u w:val="single"/>
              </w:rPr>
            </w:pPr>
            <w:r>
              <w:rPr>
                <w:rFonts w:hint="eastAsia" w:ascii="宋体" w:hAnsi="宋体" w:cs="宋体"/>
                <w:color w:val="auto"/>
                <w:kern w:val="2"/>
                <w:sz w:val="21"/>
                <w:szCs w:val="21"/>
                <w:highlight w:val="none"/>
              </w:rPr>
              <w:t>投标单位名称</w:t>
            </w:r>
          </w:p>
        </w:tc>
        <w:tc>
          <w:tcPr>
            <w:tcW w:w="2264" w:type="dxa"/>
            <w:noWrap w:val="0"/>
            <w:vAlign w:val="top"/>
          </w:tcPr>
          <w:p w14:paraId="5A34F70C">
            <w:pPr>
              <w:pStyle w:val="20"/>
              <w:keepNext w:val="0"/>
              <w:keepLines w:val="0"/>
              <w:pageBreakBefore w:val="0"/>
              <w:widowControl/>
              <w:suppressLineNumbers w:val="0"/>
              <w:kinsoku/>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cs="宋体"/>
                <w:color w:val="auto"/>
                <w:kern w:val="2"/>
                <w:sz w:val="21"/>
                <w:szCs w:val="21"/>
                <w:highlight w:val="none"/>
                <w:u w:val="single"/>
              </w:rPr>
            </w:pPr>
            <w:r>
              <w:rPr>
                <w:rFonts w:hint="eastAsia" w:ascii="宋体" w:hAnsi="宋体" w:cs="宋体"/>
                <w:color w:val="auto"/>
                <w:kern w:val="2"/>
                <w:sz w:val="21"/>
                <w:szCs w:val="21"/>
                <w:highlight w:val="none"/>
              </w:rPr>
              <w:t>联系人</w:t>
            </w:r>
          </w:p>
        </w:tc>
        <w:tc>
          <w:tcPr>
            <w:tcW w:w="2005" w:type="dxa"/>
            <w:noWrap w:val="0"/>
            <w:vAlign w:val="top"/>
          </w:tcPr>
          <w:p w14:paraId="70B7D739">
            <w:pPr>
              <w:pStyle w:val="20"/>
              <w:keepNext w:val="0"/>
              <w:keepLines w:val="0"/>
              <w:pageBreakBefore w:val="0"/>
              <w:widowControl/>
              <w:suppressLineNumbers w:val="0"/>
              <w:kinsoku/>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cs="宋体"/>
                <w:color w:val="auto"/>
                <w:kern w:val="2"/>
                <w:sz w:val="21"/>
                <w:szCs w:val="21"/>
                <w:highlight w:val="none"/>
                <w:u w:val="single"/>
              </w:rPr>
            </w:pPr>
            <w:r>
              <w:rPr>
                <w:rFonts w:hint="eastAsia" w:ascii="宋体" w:hAnsi="宋体" w:cs="宋体"/>
                <w:color w:val="auto"/>
                <w:kern w:val="2"/>
                <w:sz w:val="21"/>
                <w:szCs w:val="21"/>
                <w:highlight w:val="none"/>
              </w:rPr>
              <w:t>联系电话</w:t>
            </w:r>
          </w:p>
        </w:tc>
        <w:tc>
          <w:tcPr>
            <w:tcW w:w="2015" w:type="dxa"/>
            <w:noWrap w:val="0"/>
            <w:vAlign w:val="top"/>
          </w:tcPr>
          <w:p w14:paraId="1BBC2881">
            <w:pPr>
              <w:pStyle w:val="20"/>
              <w:keepNext w:val="0"/>
              <w:keepLines w:val="0"/>
              <w:pageBreakBefore w:val="0"/>
              <w:widowControl/>
              <w:suppressLineNumbers w:val="0"/>
              <w:kinsoku/>
              <w:overflowPunct/>
              <w:topLinePunct w:val="0"/>
              <w:autoSpaceDE/>
              <w:autoSpaceDN/>
              <w:bidi w:val="0"/>
              <w:adjustRightInd/>
              <w:snapToGrid w:val="0"/>
              <w:spacing w:before="0" w:beforeAutospacing="0" w:after="0" w:afterAutospacing="0" w:line="312" w:lineRule="auto"/>
              <w:ind w:left="0" w:right="0"/>
              <w:jc w:val="center"/>
              <w:textAlignment w:val="auto"/>
              <w:rPr>
                <w:rFonts w:hint="eastAsia" w:ascii="宋体" w:hAnsi="宋体" w:cs="宋体"/>
                <w:color w:val="auto"/>
                <w:kern w:val="2"/>
                <w:sz w:val="21"/>
                <w:szCs w:val="21"/>
                <w:highlight w:val="none"/>
                <w:u w:val="single"/>
              </w:rPr>
            </w:pPr>
            <w:r>
              <w:rPr>
                <w:rFonts w:hint="eastAsia" w:ascii="宋体" w:hAnsi="宋体" w:cs="宋体"/>
                <w:color w:val="auto"/>
                <w:kern w:val="2"/>
                <w:sz w:val="21"/>
                <w:szCs w:val="21"/>
                <w:highlight w:val="none"/>
              </w:rPr>
              <w:t>邮箱</w:t>
            </w:r>
          </w:p>
        </w:tc>
      </w:tr>
      <w:tr w14:paraId="60725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74" w:type="dxa"/>
            <w:noWrap w:val="0"/>
            <w:vAlign w:val="top"/>
          </w:tcPr>
          <w:p w14:paraId="689B7A71">
            <w:pPr>
              <w:pStyle w:val="20"/>
              <w:keepNext w:val="0"/>
              <w:keepLines w:val="0"/>
              <w:pageBreakBefore w:val="0"/>
              <w:widowControl/>
              <w:suppressLineNumbers w:val="0"/>
              <w:kinsoku/>
              <w:overflowPunct/>
              <w:topLinePunct w:val="0"/>
              <w:autoSpaceDE/>
              <w:autoSpaceDN/>
              <w:bidi w:val="0"/>
              <w:adjustRightInd/>
              <w:snapToGrid w:val="0"/>
              <w:spacing w:before="0" w:beforeAutospacing="0" w:after="0" w:afterAutospacing="0" w:line="312" w:lineRule="auto"/>
              <w:ind w:left="0" w:right="0"/>
              <w:textAlignment w:val="auto"/>
              <w:rPr>
                <w:rFonts w:hint="eastAsia" w:ascii="宋体" w:hAnsi="宋体" w:cs="宋体"/>
                <w:color w:val="auto"/>
                <w:kern w:val="2"/>
                <w:sz w:val="21"/>
                <w:szCs w:val="21"/>
                <w:highlight w:val="none"/>
                <w:u w:val="single"/>
              </w:rPr>
            </w:pPr>
          </w:p>
        </w:tc>
        <w:tc>
          <w:tcPr>
            <w:tcW w:w="2264" w:type="dxa"/>
            <w:noWrap w:val="0"/>
            <w:vAlign w:val="top"/>
          </w:tcPr>
          <w:p w14:paraId="6400B2F3">
            <w:pPr>
              <w:pStyle w:val="20"/>
              <w:keepNext w:val="0"/>
              <w:keepLines w:val="0"/>
              <w:pageBreakBefore w:val="0"/>
              <w:widowControl/>
              <w:suppressLineNumbers w:val="0"/>
              <w:kinsoku/>
              <w:overflowPunct/>
              <w:topLinePunct w:val="0"/>
              <w:autoSpaceDE/>
              <w:autoSpaceDN/>
              <w:bidi w:val="0"/>
              <w:adjustRightInd/>
              <w:snapToGrid w:val="0"/>
              <w:spacing w:before="0" w:beforeAutospacing="0" w:after="0" w:afterAutospacing="0" w:line="312" w:lineRule="auto"/>
              <w:ind w:left="0" w:right="0"/>
              <w:textAlignment w:val="auto"/>
              <w:rPr>
                <w:rFonts w:hint="eastAsia" w:ascii="宋体" w:hAnsi="宋体" w:cs="宋体"/>
                <w:color w:val="auto"/>
                <w:kern w:val="2"/>
                <w:sz w:val="21"/>
                <w:szCs w:val="21"/>
                <w:highlight w:val="none"/>
                <w:u w:val="single"/>
              </w:rPr>
            </w:pPr>
          </w:p>
        </w:tc>
        <w:tc>
          <w:tcPr>
            <w:tcW w:w="2005" w:type="dxa"/>
            <w:noWrap w:val="0"/>
            <w:vAlign w:val="top"/>
          </w:tcPr>
          <w:p w14:paraId="416FFA20">
            <w:pPr>
              <w:pStyle w:val="20"/>
              <w:keepNext w:val="0"/>
              <w:keepLines w:val="0"/>
              <w:pageBreakBefore w:val="0"/>
              <w:widowControl/>
              <w:suppressLineNumbers w:val="0"/>
              <w:kinsoku/>
              <w:overflowPunct/>
              <w:topLinePunct w:val="0"/>
              <w:autoSpaceDE/>
              <w:autoSpaceDN/>
              <w:bidi w:val="0"/>
              <w:adjustRightInd/>
              <w:snapToGrid w:val="0"/>
              <w:spacing w:before="0" w:beforeAutospacing="0" w:after="0" w:afterAutospacing="0" w:line="312" w:lineRule="auto"/>
              <w:ind w:left="0" w:right="0"/>
              <w:textAlignment w:val="auto"/>
              <w:rPr>
                <w:rFonts w:hint="eastAsia" w:ascii="宋体" w:hAnsi="宋体" w:cs="宋体"/>
                <w:color w:val="auto"/>
                <w:kern w:val="2"/>
                <w:sz w:val="21"/>
                <w:szCs w:val="21"/>
                <w:highlight w:val="none"/>
                <w:u w:val="single"/>
              </w:rPr>
            </w:pPr>
          </w:p>
        </w:tc>
        <w:tc>
          <w:tcPr>
            <w:tcW w:w="2015" w:type="dxa"/>
            <w:noWrap w:val="0"/>
            <w:vAlign w:val="top"/>
          </w:tcPr>
          <w:p w14:paraId="1226E3F1">
            <w:pPr>
              <w:pStyle w:val="20"/>
              <w:keepNext w:val="0"/>
              <w:keepLines w:val="0"/>
              <w:pageBreakBefore w:val="0"/>
              <w:widowControl/>
              <w:suppressLineNumbers w:val="0"/>
              <w:kinsoku/>
              <w:overflowPunct/>
              <w:topLinePunct w:val="0"/>
              <w:autoSpaceDE/>
              <w:autoSpaceDN/>
              <w:bidi w:val="0"/>
              <w:adjustRightInd/>
              <w:snapToGrid w:val="0"/>
              <w:spacing w:before="0" w:beforeAutospacing="0" w:after="0" w:afterAutospacing="0" w:line="312" w:lineRule="auto"/>
              <w:ind w:left="0" w:right="0"/>
              <w:textAlignment w:val="auto"/>
              <w:rPr>
                <w:rFonts w:hint="eastAsia" w:ascii="宋体" w:hAnsi="宋体" w:cs="宋体"/>
                <w:color w:val="auto"/>
                <w:kern w:val="2"/>
                <w:sz w:val="21"/>
                <w:szCs w:val="21"/>
                <w:highlight w:val="none"/>
                <w:u w:val="single"/>
              </w:rPr>
            </w:pPr>
          </w:p>
        </w:tc>
      </w:tr>
    </w:tbl>
    <w:p w14:paraId="56AA50B9">
      <w:pPr>
        <w:pStyle w:val="20"/>
        <w:keepNext w:val="0"/>
        <w:keepLines w:val="0"/>
        <w:pageBreakBefore w:val="0"/>
        <w:widowControl/>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440" w:firstLineChars="200"/>
        <w:textAlignment w:val="auto"/>
        <w:rPr>
          <w:rFonts w:hint="eastAsia" w:ascii="宋体" w:hAnsi="宋体" w:cs="宋体"/>
          <w:color w:val="auto"/>
          <w:kern w:val="2"/>
          <w:sz w:val="22"/>
          <w:szCs w:val="22"/>
          <w:highlight w:val="none"/>
        </w:rPr>
      </w:pPr>
      <w:r>
        <w:rPr>
          <w:rFonts w:hint="eastAsia" w:ascii="宋体" w:hAnsi="宋体" w:cs="宋体"/>
          <w:color w:val="auto"/>
          <w:kern w:val="2"/>
          <w:sz w:val="22"/>
          <w:szCs w:val="22"/>
          <w:highlight w:val="none"/>
          <w:lang w:val="en-US" w:eastAsia="zh-CN"/>
        </w:rPr>
        <w:t>3</w:t>
      </w:r>
      <w:r>
        <w:rPr>
          <w:rFonts w:hint="eastAsia" w:ascii="宋体" w:hAnsi="宋体" w:cs="宋体"/>
          <w:color w:val="auto"/>
          <w:kern w:val="2"/>
          <w:sz w:val="22"/>
          <w:szCs w:val="22"/>
          <w:highlight w:val="none"/>
        </w:rPr>
        <w:t>、招标文件工本费：</w:t>
      </w:r>
      <w:r>
        <w:rPr>
          <w:rFonts w:hint="eastAsia" w:ascii="宋体" w:hAnsi="宋体" w:cs="宋体"/>
          <w:color w:val="auto"/>
          <w:kern w:val="2"/>
          <w:sz w:val="22"/>
          <w:szCs w:val="22"/>
          <w:highlight w:val="none"/>
          <w:u w:val="single"/>
        </w:rPr>
        <w:t>0</w:t>
      </w:r>
      <w:r>
        <w:rPr>
          <w:rFonts w:hint="eastAsia" w:ascii="宋体" w:hAnsi="宋体" w:cs="宋体"/>
          <w:color w:val="auto"/>
          <w:kern w:val="2"/>
          <w:sz w:val="22"/>
          <w:szCs w:val="22"/>
          <w:highlight w:val="none"/>
        </w:rPr>
        <w:t>元</w:t>
      </w:r>
    </w:p>
    <w:p w14:paraId="47109F92">
      <w:pPr>
        <w:keepNext w:val="0"/>
        <w:keepLines w:val="0"/>
        <w:pageBreakBefore w:val="0"/>
        <w:widowControl/>
        <w:suppressLineNumbers w:val="0"/>
        <w:kinsoku/>
        <w:overflowPunct/>
        <w:topLinePunct w:val="0"/>
        <w:autoSpaceDE/>
        <w:autoSpaceDN/>
        <w:bidi w:val="0"/>
        <w:adjustRightInd/>
        <w:snapToGrid w:val="0"/>
        <w:spacing w:before="0" w:beforeAutospacing="0" w:afterAutospacing="0" w:line="312" w:lineRule="auto"/>
        <w:ind w:left="0" w:right="0" w:firstLine="440" w:firstLineChars="200"/>
        <w:textAlignment w:val="auto"/>
        <w:rPr>
          <w:rFonts w:hint="default" w:ascii="宋体" w:hAnsi="宋体" w:eastAsia="宋体" w:cs="宋体"/>
          <w:color w:val="auto"/>
          <w:sz w:val="22"/>
          <w:szCs w:val="22"/>
          <w:highlight w:val="none"/>
          <w:u w:val="single"/>
          <w:lang w:val="en-US" w:eastAsia="zh-CN" w:bidi="ar"/>
        </w:rPr>
      </w:pPr>
      <w:r>
        <w:rPr>
          <w:rFonts w:hint="eastAsia" w:ascii="宋体" w:hAnsi="宋体" w:cs="宋体"/>
          <w:color w:val="auto"/>
          <w:sz w:val="22"/>
          <w:szCs w:val="22"/>
          <w:highlight w:val="none"/>
          <w:lang w:eastAsia="zh-CN" w:bidi="ar"/>
        </w:rPr>
        <w:t>四</w:t>
      </w:r>
      <w:r>
        <w:rPr>
          <w:rFonts w:hint="eastAsia" w:ascii="宋体" w:hAnsi="宋体" w:cs="宋体"/>
          <w:color w:val="auto"/>
          <w:sz w:val="22"/>
          <w:szCs w:val="22"/>
          <w:highlight w:val="none"/>
          <w:lang w:bidi="ar"/>
        </w:rPr>
        <w:t>、投标保证金：</w:t>
      </w:r>
      <w:r>
        <w:rPr>
          <w:rFonts w:hint="eastAsia" w:ascii="宋体" w:hAnsi="宋体" w:cs="宋体"/>
          <w:color w:val="auto"/>
          <w:sz w:val="22"/>
          <w:szCs w:val="22"/>
          <w:highlight w:val="none"/>
          <w:u w:val="single"/>
          <w:lang w:val="en-US" w:eastAsia="zh-CN" w:bidi="ar"/>
        </w:rPr>
        <w:t>无</w:t>
      </w:r>
    </w:p>
    <w:p w14:paraId="2BAC5344">
      <w:pPr>
        <w:pStyle w:val="20"/>
        <w:keepNext w:val="0"/>
        <w:keepLines w:val="0"/>
        <w:pageBreakBefore w:val="0"/>
        <w:widowControl/>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440" w:firstLineChars="200"/>
        <w:textAlignment w:val="auto"/>
        <w:rPr>
          <w:rFonts w:hint="eastAsia" w:ascii="宋体" w:hAnsi="宋体" w:cs="宋体"/>
          <w:color w:val="auto"/>
          <w:kern w:val="2"/>
          <w:sz w:val="22"/>
          <w:szCs w:val="22"/>
          <w:highlight w:val="none"/>
        </w:rPr>
      </w:pPr>
      <w:r>
        <w:rPr>
          <w:rFonts w:hint="eastAsia" w:cs="宋体"/>
          <w:color w:val="auto"/>
          <w:kern w:val="2"/>
          <w:sz w:val="22"/>
          <w:szCs w:val="22"/>
          <w:highlight w:val="none"/>
          <w:lang w:eastAsia="zh-CN"/>
        </w:rPr>
        <w:t>五</w:t>
      </w:r>
      <w:r>
        <w:rPr>
          <w:rFonts w:hint="eastAsia" w:ascii="宋体" w:hAnsi="宋体" w:cs="宋体"/>
          <w:color w:val="auto"/>
          <w:kern w:val="2"/>
          <w:sz w:val="22"/>
          <w:szCs w:val="22"/>
          <w:highlight w:val="none"/>
        </w:rPr>
        <w:t>、其他有关内容</w:t>
      </w:r>
    </w:p>
    <w:p w14:paraId="1365B580">
      <w:pPr>
        <w:pStyle w:val="20"/>
        <w:keepNext w:val="0"/>
        <w:keepLines w:val="0"/>
        <w:pageBreakBefore w:val="0"/>
        <w:widowControl/>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440" w:firstLineChars="200"/>
        <w:textAlignment w:val="auto"/>
        <w:rPr>
          <w:rFonts w:hint="eastAsia" w:ascii="宋体" w:hAnsi="宋体" w:cs="宋体"/>
          <w:color w:val="auto"/>
          <w:kern w:val="2"/>
          <w:sz w:val="22"/>
          <w:szCs w:val="22"/>
          <w:highlight w:val="none"/>
        </w:rPr>
      </w:pPr>
      <w:r>
        <w:rPr>
          <w:rFonts w:hint="eastAsia" w:ascii="宋体" w:hAnsi="宋体" w:cs="宋体"/>
          <w:color w:val="auto"/>
          <w:kern w:val="2"/>
          <w:sz w:val="22"/>
          <w:szCs w:val="22"/>
          <w:highlight w:val="none"/>
        </w:rPr>
        <w:t>1、评标入围方法：</w:t>
      </w:r>
      <w:r>
        <w:rPr>
          <w:rFonts w:hint="eastAsia" w:cs="宋体"/>
          <w:color w:val="auto"/>
          <w:kern w:val="2"/>
          <w:sz w:val="22"/>
          <w:szCs w:val="22"/>
          <w:highlight w:val="none"/>
          <w:u w:val="single"/>
          <w:lang w:val="en-US" w:eastAsia="zh-CN"/>
        </w:rPr>
        <w:t>全入围</w:t>
      </w:r>
      <w:r>
        <w:rPr>
          <w:rFonts w:hint="eastAsia" w:ascii="宋体" w:hAnsi="宋体" w:cs="宋体"/>
          <w:color w:val="auto"/>
          <w:kern w:val="2"/>
          <w:sz w:val="22"/>
          <w:szCs w:val="22"/>
          <w:highlight w:val="none"/>
          <w:u w:val="single"/>
        </w:rPr>
        <w:t>。</w:t>
      </w:r>
    </w:p>
    <w:p w14:paraId="781FEB86">
      <w:pPr>
        <w:pStyle w:val="20"/>
        <w:keepNext w:val="0"/>
        <w:keepLines w:val="0"/>
        <w:pageBreakBefore w:val="0"/>
        <w:widowControl/>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440" w:firstLineChars="200"/>
        <w:textAlignment w:val="auto"/>
        <w:rPr>
          <w:rFonts w:hint="eastAsia" w:ascii="宋体" w:hAnsi="宋体" w:eastAsia="宋体" w:cs="宋体"/>
          <w:color w:val="auto"/>
          <w:kern w:val="2"/>
          <w:sz w:val="22"/>
          <w:szCs w:val="22"/>
          <w:highlight w:val="none"/>
          <w:lang w:eastAsia="zh-CN"/>
        </w:rPr>
      </w:pPr>
      <w:r>
        <w:rPr>
          <w:rFonts w:hint="eastAsia" w:cs="宋体"/>
          <w:color w:val="auto"/>
          <w:kern w:val="2"/>
          <w:sz w:val="22"/>
          <w:szCs w:val="22"/>
          <w:highlight w:val="none"/>
          <w:lang w:val="en-US" w:eastAsia="zh-CN"/>
        </w:rPr>
        <w:t>2</w:t>
      </w:r>
      <w:r>
        <w:rPr>
          <w:rFonts w:hint="eastAsia" w:ascii="宋体" w:hAnsi="宋体" w:cs="宋体"/>
          <w:color w:val="auto"/>
          <w:kern w:val="2"/>
          <w:sz w:val="22"/>
          <w:szCs w:val="22"/>
          <w:highlight w:val="none"/>
        </w:rPr>
        <w:t>、评标方法：</w:t>
      </w:r>
      <w:r>
        <w:rPr>
          <w:rFonts w:hint="eastAsia" w:cs="宋体"/>
          <w:color w:val="auto"/>
          <w:kern w:val="2"/>
          <w:sz w:val="22"/>
          <w:szCs w:val="22"/>
          <w:highlight w:val="none"/>
          <w:u w:val="single"/>
          <w:lang w:eastAsia="zh-CN"/>
        </w:rPr>
        <w:t>综合评估法</w:t>
      </w:r>
      <w:r>
        <w:rPr>
          <w:rFonts w:hint="eastAsia" w:cs="宋体"/>
          <w:color w:val="auto"/>
          <w:kern w:val="2"/>
          <w:sz w:val="22"/>
          <w:szCs w:val="22"/>
          <w:highlight w:val="none"/>
          <w:u w:val="none"/>
          <w:lang w:eastAsia="zh-CN"/>
        </w:rPr>
        <w:t>。</w:t>
      </w:r>
    </w:p>
    <w:p w14:paraId="5CB148BC">
      <w:pPr>
        <w:pStyle w:val="20"/>
        <w:keepNext w:val="0"/>
        <w:keepLines w:val="0"/>
        <w:pageBreakBefore w:val="0"/>
        <w:widowControl/>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440" w:firstLineChars="200"/>
        <w:textAlignment w:val="auto"/>
        <w:rPr>
          <w:rFonts w:hint="eastAsia" w:ascii="宋体" w:hAnsi="宋体" w:cs="宋体"/>
          <w:color w:val="auto"/>
          <w:kern w:val="2"/>
          <w:sz w:val="22"/>
          <w:szCs w:val="22"/>
          <w:highlight w:val="none"/>
        </w:rPr>
      </w:pPr>
      <w:r>
        <w:rPr>
          <w:rFonts w:hint="eastAsia" w:cs="宋体"/>
          <w:color w:val="auto"/>
          <w:kern w:val="2"/>
          <w:sz w:val="22"/>
          <w:szCs w:val="22"/>
          <w:highlight w:val="none"/>
          <w:lang w:val="en-US" w:eastAsia="zh-CN"/>
        </w:rPr>
        <w:t>3、</w:t>
      </w:r>
      <w:r>
        <w:rPr>
          <w:rFonts w:hint="eastAsia" w:ascii="宋体" w:hAnsi="宋体" w:cs="宋体"/>
          <w:color w:val="auto"/>
          <w:kern w:val="2"/>
          <w:sz w:val="22"/>
          <w:szCs w:val="22"/>
          <w:highlight w:val="none"/>
        </w:rPr>
        <w:t>中标方式：</w:t>
      </w:r>
      <w:r>
        <w:rPr>
          <w:rFonts w:hint="eastAsia" w:ascii="宋体" w:hAnsi="宋体" w:cs="宋体"/>
          <w:color w:val="auto"/>
          <w:kern w:val="2"/>
          <w:sz w:val="22"/>
          <w:szCs w:val="22"/>
          <w:highlight w:val="none"/>
          <w:u w:val="single"/>
        </w:rPr>
        <w:t>最高分中标</w:t>
      </w:r>
      <w:r>
        <w:rPr>
          <w:rFonts w:hint="eastAsia" w:ascii="宋体" w:hAnsi="宋体" w:cs="宋体"/>
          <w:color w:val="auto"/>
          <w:kern w:val="2"/>
          <w:sz w:val="22"/>
          <w:szCs w:val="22"/>
          <w:highlight w:val="none"/>
        </w:rPr>
        <w:t>。</w:t>
      </w:r>
    </w:p>
    <w:p w14:paraId="1188D1AD">
      <w:pPr>
        <w:pStyle w:val="20"/>
        <w:keepNext w:val="0"/>
        <w:keepLines w:val="0"/>
        <w:pageBreakBefore w:val="0"/>
        <w:widowControl/>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440" w:firstLineChars="200"/>
        <w:textAlignment w:val="auto"/>
        <w:rPr>
          <w:rFonts w:hint="eastAsia" w:cs="宋体"/>
          <w:bCs/>
          <w:color w:val="auto"/>
          <w:sz w:val="22"/>
          <w:szCs w:val="22"/>
          <w:highlight w:val="none"/>
          <w:u w:val="none"/>
          <w:shd w:val="clear" w:color="auto" w:fill="FFFFFF"/>
        </w:rPr>
      </w:pPr>
      <w:r>
        <w:rPr>
          <w:rFonts w:hint="eastAsia" w:ascii="宋体" w:hAnsi="宋体" w:cs="宋体"/>
          <w:color w:val="auto"/>
          <w:kern w:val="2"/>
          <w:sz w:val="22"/>
          <w:szCs w:val="22"/>
          <w:highlight w:val="none"/>
        </w:rPr>
        <w:t>4、投标文件递</w:t>
      </w:r>
      <w:r>
        <w:rPr>
          <w:rFonts w:hint="eastAsia" w:cs="宋体"/>
          <w:bCs/>
          <w:color w:val="auto"/>
          <w:sz w:val="22"/>
          <w:szCs w:val="22"/>
          <w:highlight w:val="none"/>
          <w:shd w:val="clear" w:color="auto" w:fill="FFFFFF"/>
        </w:rPr>
        <w:t>交</w:t>
      </w:r>
      <w:r>
        <w:rPr>
          <w:rFonts w:hint="eastAsia" w:cs="宋体"/>
          <w:bCs/>
          <w:color w:val="auto"/>
          <w:sz w:val="22"/>
          <w:szCs w:val="22"/>
          <w:highlight w:val="none"/>
          <w:shd w:val="clear" w:color="auto" w:fill="FFFFFF"/>
          <w:lang w:eastAsia="zh-CN"/>
        </w:rPr>
        <w:t>：</w:t>
      </w:r>
      <w:r>
        <w:rPr>
          <w:rFonts w:hint="eastAsia" w:ascii="宋体" w:hAnsi="宋体" w:cs="宋体"/>
          <w:color w:val="auto"/>
          <w:kern w:val="2"/>
          <w:sz w:val="22"/>
          <w:szCs w:val="22"/>
          <w:highlight w:val="none"/>
        </w:rPr>
        <w:t>投标文件递</w:t>
      </w:r>
      <w:r>
        <w:rPr>
          <w:rFonts w:hint="eastAsia" w:cs="宋体"/>
          <w:bCs/>
          <w:color w:val="auto"/>
          <w:sz w:val="22"/>
          <w:szCs w:val="22"/>
          <w:highlight w:val="none"/>
          <w:shd w:val="clear" w:color="auto" w:fill="FFFFFF"/>
        </w:rPr>
        <w:t>交截止时间</w:t>
      </w:r>
      <w:r>
        <w:rPr>
          <w:rFonts w:hint="eastAsia" w:cs="宋体"/>
          <w:bCs/>
          <w:color w:val="auto"/>
          <w:sz w:val="22"/>
          <w:szCs w:val="22"/>
          <w:highlight w:val="none"/>
          <w:shd w:val="clear" w:color="auto" w:fill="FFFFFF"/>
          <w:lang w:eastAsia="zh-CN"/>
        </w:rPr>
        <w:t>为</w:t>
      </w:r>
      <w:r>
        <w:rPr>
          <w:rFonts w:hint="eastAsia" w:cs="宋体"/>
          <w:bCs/>
          <w:color w:val="auto"/>
          <w:sz w:val="22"/>
          <w:szCs w:val="22"/>
          <w:highlight w:val="none"/>
          <w:u w:val="single"/>
          <w:shd w:val="clear" w:color="auto" w:fill="FFFFFF"/>
          <w:lang w:val="en-US" w:eastAsia="zh-CN"/>
        </w:rPr>
        <w:t>2026年  月  日09：30</w:t>
      </w:r>
      <w:r>
        <w:rPr>
          <w:rFonts w:hint="eastAsia" w:cs="宋体"/>
          <w:bCs/>
          <w:color w:val="auto"/>
          <w:sz w:val="22"/>
          <w:szCs w:val="22"/>
          <w:highlight w:val="none"/>
          <w:u w:val="none"/>
        </w:rPr>
        <w:t>，即交即走，不参加后续开标会。现场递交地址</w:t>
      </w:r>
      <w:r>
        <w:rPr>
          <w:rFonts w:hint="eastAsia" w:cs="宋体"/>
          <w:bCs/>
          <w:color w:val="auto"/>
          <w:sz w:val="22"/>
          <w:szCs w:val="22"/>
          <w:highlight w:val="none"/>
          <w:u w:val="none"/>
          <w:lang w:eastAsia="zh-CN"/>
        </w:rPr>
        <w:t>为</w:t>
      </w:r>
      <w:r>
        <w:rPr>
          <w:rFonts w:hint="eastAsia" w:cs="宋体"/>
          <w:bCs/>
          <w:color w:val="auto"/>
          <w:sz w:val="22"/>
          <w:szCs w:val="22"/>
          <w:highlight w:val="none"/>
          <w:u w:val="single"/>
          <w:lang w:val="en-US" w:eastAsia="zh-CN"/>
        </w:rPr>
        <w:t>绍兴市第七人民医院5楼会议室</w:t>
      </w:r>
      <w:r>
        <w:rPr>
          <w:rFonts w:hint="eastAsia" w:cs="宋体"/>
          <w:bCs/>
          <w:color w:val="auto"/>
          <w:sz w:val="22"/>
          <w:szCs w:val="22"/>
          <w:highlight w:val="none"/>
          <w:u w:val="none"/>
        </w:rPr>
        <w:t>。</w:t>
      </w:r>
    </w:p>
    <w:p w14:paraId="217793F7">
      <w:pPr>
        <w:pStyle w:val="20"/>
        <w:keepNext w:val="0"/>
        <w:keepLines w:val="0"/>
        <w:pageBreakBefore w:val="0"/>
        <w:widowControl/>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440" w:firstLineChars="200"/>
        <w:textAlignment w:val="auto"/>
        <w:rPr>
          <w:rFonts w:hint="eastAsia" w:ascii="宋体" w:hAnsi="宋体" w:cs="宋体"/>
          <w:color w:val="auto"/>
          <w:kern w:val="2"/>
          <w:sz w:val="22"/>
          <w:szCs w:val="22"/>
          <w:highlight w:val="none"/>
        </w:rPr>
      </w:pPr>
      <w:r>
        <w:rPr>
          <w:rFonts w:hint="eastAsia" w:cs="宋体"/>
          <w:color w:val="auto"/>
          <w:kern w:val="2"/>
          <w:sz w:val="22"/>
          <w:szCs w:val="22"/>
          <w:highlight w:val="none"/>
          <w:lang w:val="en-US" w:eastAsia="zh-CN"/>
        </w:rPr>
        <w:t>5</w:t>
      </w:r>
      <w:r>
        <w:rPr>
          <w:rFonts w:hint="eastAsia" w:ascii="宋体" w:hAnsi="宋体" w:cs="宋体"/>
          <w:color w:val="auto"/>
          <w:kern w:val="2"/>
          <w:sz w:val="22"/>
          <w:szCs w:val="22"/>
          <w:highlight w:val="none"/>
        </w:rPr>
        <w:t>、若本公告相关内容与正式发出的招标文件不一致，以正式发出的招标文件为准。</w:t>
      </w:r>
    </w:p>
    <w:p w14:paraId="6E24053B">
      <w:pPr>
        <w:pStyle w:val="20"/>
        <w:keepNext w:val="0"/>
        <w:keepLines w:val="0"/>
        <w:pageBreakBefore w:val="0"/>
        <w:widowControl/>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440" w:firstLineChars="200"/>
        <w:textAlignment w:val="auto"/>
        <w:rPr>
          <w:rFonts w:hint="eastAsia" w:ascii="宋体" w:hAnsi="宋体" w:eastAsia="宋体" w:cs="宋体"/>
          <w:color w:val="auto"/>
          <w:kern w:val="2"/>
          <w:sz w:val="22"/>
          <w:szCs w:val="22"/>
          <w:highlight w:val="none"/>
          <w:lang w:eastAsia="zh-CN"/>
        </w:rPr>
      </w:pPr>
      <w:r>
        <w:rPr>
          <w:rFonts w:hint="eastAsia" w:cs="宋体"/>
          <w:color w:val="auto"/>
          <w:kern w:val="2"/>
          <w:sz w:val="22"/>
          <w:szCs w:val="22"/>
          <w:highlight w:val="none"/>
          <w:lang w:val="en-US" w:eastAsia="zh-CN"/>
        </w:rPr>
        <w:t>6</w:t>
      </w:r>
      <w:r>
        <w:rPr>
          <w:rFonts w:hint="eastAsia" w:ascii="宋体" w:hAnsi="宋体" w:cs="宋体"/>
          <w:color w:val="auto"/>
          <w:kern w:val="2"/>
          <w:sz w:val="22"/>
          <w:szCs w:val="22"/>
          <w:highlight w:val="none"/>
        </w:rPr>
        <w:t>、</w:t>
      </w:r>
      <w:r>
        <w:rPr>
          <w:rFonts w:hint="eastAsia" w:cs="宋体"/>
          <w:color w:val="auto"/>
          <w:kern w:val="2"/>
          <w:sz w:val="22"/>
          <w:szCs w:val="22"/>
          <w:highlight w:val="none"/>
          <w:lang w:eastAsia="zh-CN"/>
        </w:rPr>
        <w:t>联系方式</w:t>
      </w:r>
    </w:p>
    <w:p w14:paraId="616379AA">
      <w:pPr>
        <w:pStyle w:val="20"/>
        <w:keepNext w:val="0"/>
        <w:keepLines w:val="0"/>
        <w:pageBreakBefore w:val="0"/>
        <w:widowControl/>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440" w:firstLineChars="200"/>
        <w:textAlignment w:val="auto"/>
        <w:rPr>
          <w:rFonts w:hint="eastAsia" w:ascii="宋体" w:hAnsi="宋体" w:cs="宋体"/>
          <w:color w:val="auto"/>
          <w:kern w:val="2"/>
          <w:sz w:val="22"/>
          <w:szCs w:val="22"/>
          <w:highlight w:val="none"/>
        </w:rPr>
      </w:pPr>
      <w:r>
        <w:rPr>
          <w:rFonts w:hint="eastAsia" w:ascii="宋体" w:hAnsi="宋体" w:cs="宋体"/>
          <w:color w:val="auto"/>
          <w:kern w:val="2"/>
          <w:sz w:val="22"/>
          <w:szCs w:val="22"/>
          <w:highlight w:val="none"/>
        </w:rPr>
        <w:t>招标联系人：</w:t>
      </w:r>
      <w:r>
        <w:rPr>
          <w:rFonts w:hint="eastAsia" w:cs="宋体"/>
          <w:color w:val="auto"/>
          <w:kern w:val="2"/>
          <w:sz w:val="22"/>
          <w:szCs w:val="22"/>
          <w:highlight w:val="none"/>
          <w:u w:val="single"/>
          <w:lang w:val="en-US" w:eastAsia="zh-CN"/>
        </w:rPr>
        <w:t>戴潇洋</w:t>
      </w:r>
      <w:r>
        <w:rPr>
          <w:rFonts w:hint="eastAsia" w:ascii="宋体" w:hAnsi="宋体" w:cs="宋体"/>
          <w:color w:val="auto"/>
          <w:kern w:val="2"/>
          <w:sz w:val="22"/>
          <w:szCs w:val="22"/>
          <w:highlight w:val="none"/>
        </w:rPr>
        <w:t>，联系电话：</w:t>
      </w:r>
      <w:r>
        <w:rPr>
          <w:rFonts w:hint="eastAsia" w:ascii="宋体" w:hAnsi="宋体" w:cs="宋体"/>
          <w:bCs/>
          <w:color w:val="auto"/>
          <w:sz w:val="22"/>
          <w:szCs w:val="22"/>
          <w:highlight w:val="none"/>
          <w:u w:val="single"/>
          <w:lang w:val="en-US" w:eastAsia="zh-CN"/>
        </w:rPr>
        <w:t>0575-85397725</w:t>
      </w:r>
      <w:r>
        <w:rPr>
          <w:rFonts w:hint="eastAsia" w:ascii="宋体" w:hAnsi="宋体" w:cs="宋体"/>
          <w:color w:val="auto"/>
          <w:kern w:val="2"/>
          <w:sz w:val="22"/>
          <w:szCs w:val="22"/>
          <w:highlight w:val="none"/>
        </w:rPr>
        <w:t>；</w:t>
      </w:r>
    </w:p>
    <w:p w14:paraId="317019FC">
      <w:pPr>
        <w:pStyle w:val="20"/>
        <w:keepNext w:val="0"/>
        <w:keepLines w:val="0"/>
        <w:pageBreakBefore w:val="0"/>
        <w:widowControl/>
        <w:suppressLineNumbers w:val="0"/>
        <w:shd w:val="clear" w:color="auto" w:fill="FFFFFF"/>
        <w:kinsoku/>
        <w:overflowPunct/>
        <w:topLinePunct w:val="0"/>
        <w:autoSpaceDE/>
        <w:autoSpaceDN/>
        <w:bidi w:val="0"/>
        <w:adjustRightInd/>
        <w:snapToGrid w:val="0"/>
        <w:spacing w:before="0" w:beforeAutospacing="0" w:after="0" w:afterAutospacing="0" w:line="312" w:lineRule="auto"/>
        <w:ind w:left="0" w:right="0" w:firstLine="440" w:firstLineChars="200"/>
        <w:textAlignment w:val="auto"/>
        <w:rPr>
          <w:rFonts w:hint="eastAsia" w:ascii="宋体" w:hAnsi="宋体" w:cs="宋体"/>
          <w:color w:val="auto"/>
          <w:kern w:val="2"/>
          <w:sz w:val="22"/>
          <w:szCs w:val="22"/>
          <w:highlight w:val="none"/>
        </w:rPr>
      </w:pPr>
      <w:r>
        <w:rPr>
          <w:rFonts w:hint="eastAsia" w:ascii="宋体" w:hAnsi="宋体" w:cs="宋体"/>
          <w:color w:val="auto"/>
          <w:kern w:val="2"/>
          <w:sz w:val="22"/>
          <w:szCs w:val="22"/>
          <w:highlight w:val="none"/>
        </w:rPr>
        <w:t>招标代理联系人：</w:t>
      </w:r>
      <w:r>
        <w:rPr>
          <w:rFonts w:hint="eastAsia" w:cs="宋体"/>
          <w:color w:val="auto"/>
          <w:kern w:val="2"/>
          <w:sz w:val="22"/>
          <w:szCs w:val="22"/>
          <w:highlight w:val="none"/>
          <w:u w:val="single"/>
          <w:lang w:val="en-US" w:eastAsia="zh-CN"/>
        </w:rPr>
        <w:t>韩钦</w:t>
      </w:r>
      <w:r>
        <w:rPr>
          <w:rFonts w:hint="eastAsia" w:ascii="宋体" w:hAnsi="宋体" w:cs="宋体"/>
          <w:color w:val="auto"/>
          <w:kern w:val="2"/>
          <w:sz w:val="22"/>
          <w:szCs w:val="22"/>
          <w:highlight w:val="none"/>
        </w:rPr>
        <w:t>，联系电话：</w:t>
      </w:r>
      <w:r>
        <w:rPr>
          <w:rFonts w:hint="eastAsia" w:cs="宋体"/>
          <w:color w:val="auto"/>
          <w:kern w:val="2"/>
          <w:sz w:val="22"/>
          <w:szCs w:val="22"/>
          <w:highlight w:val="none"/>
          <w:u w:val="single"/>
          <w:lang w:val="en-US" w:eastAsia="zh-CN"/>
        </w:rPr>
        <w:t>15785860983</w:t>
      </w:r>
      <w:r>
        <w:rPr>
          <w:rFonts w:hint="eastAsia" w:ascii="宋体" w:hAnsi="宋体" w:cs="宋体"/>
          <w:color w:val="auto"/>
          <w:kern w:val="2"/>
          <w:sz w:val="22"/>
          <w:szCs w:val="22"/>
          <w:highlight w:val="none"/>
        </w:rPr>
        <w:t>。</w:t>
      </w:r>
    </w:p>
    <w:p w14:paraId="242F451A">
      <w:pPr>
        <w:pStyle w:val="20"/>
        <w:keepNext w:val="0"/>
        <w:keepLines w:val="0"/>
        <w:pageBreakBefore w:val="0"/>
        <w:widowControl/>
        <w:suppressLineNumbers w:val="0"/>
        <w:kinsoku/>
        <w:overflowPunct/>
        <w:topLinePunct w:val="0"/>
        <w:autoSpaceDE/>
        <w:autoSpaceDN/>
        <w:bidi w:val="0"/>
        <w:adjustRightInd/>
        <w:snapToGrid w:val="0"/>
        <w:spacing w:before="0" w:beforeAutospacing="0" w:after="0" w:afterAutospacing="0" w:line="312" w:lineRule="auto"/>
        <w:ind w:left="0" w:right="0" w:firstLine="440" w:firstLineChars="200"/>
        <w:jc w:val="both"/>
        <w:textAlignment w:val="auto"/>
        <w:rPr>
          <w:rFonts w:hint="default" w:ascii="宋体" w:hAnsi="宋体" w:eastAsia="宋体" w:cs="宋体"/>
          <w:color w:val="auto"/>
          <w:kern w:val="2"/>
          <w:sz w:val="22"/>
          <w:szCs w:val="22"/>
          <w:highlight w:val="none"/>
          <w:u w:val="single"/>
          <w:lang w:val="en-US" w:eastAsia="zh-CN"/>
        </w:rPr>
      </w:pPr>
    </w:p>
    <w:p w14:paraId="61901D68">
      <w:pPr>
        <w:pStyle w:val="20"/>
        <w:keepNext w:val="0"/>
        <w:keepLines w:val="0"/>
        <w:pageBreakBefore w:val="0"/>
        <w:widowControl/>
        <w:suppressLineNumbers w:val="0"/>
        <w:shd w:val="clear" w:color="auto" w:fill="FFFFFF"/>
        <w:kinsoku/>
        <w:wordWrap w:val="0"/>
        <w:overflowPunct/>
        <w:topLinePunct w:val="0"/>
        <w:autoSpaceDE/>
        <w:autoSpaceDN/>
        <w:bidi w:val="0"/>
        <w:adjustRightInd/>
        <w:snapToGrid w:val="0"/>
        <w:spacing w:before="0" w:beforeAutospacing="0" w:after="0" w:afterAutospacing="0" w:line="312" w:lineRule="auto"/>
        <w:ind w:left="0" w:right="0" w:firstLine="420"/>
        <w:jc w:val="right"/>
        <w:textAlignment w:val="auto"/>
        <w:rPr>
          <w:rFonts w:hint="default" w:ascii="宋体" w:hAnsi="宋体" w:eastAsia="宋体" w:cs="宋体"/>
          <w:color w:val="auto"/>
          <w:kern w:val="2"/>
          <w:sz w:val="22"/>
          <w:szCs w:val="22"/>
          <w:highlight w:val="none"/>
          <w:lang w:val="en-US" w:eastAsia="zh-CN"/>
        </w:rPr>
      </w:pPr>
      <w:r>
        <w:rPr>
          <w:rFonts w:hint="eastAsia" w:ascii="宋体" w:hAnsi="宋体" w:cs="宋体"/>
          <w:color w:val="auto"/>
          <w:kern w:val="2"/>
          <w:sz w:val="22"/>
          <w:szCs w:val="22"/>
          <w:highlight w:val="none"/>
        </w:rPr>
        <w:t>招标人：</w:t>
      </w:r>
      <w:r>
        <w:rPr>
          <w:rFonts w:hint="eastAsia" w:cs="宋体"/>
          <w:color w:val="auto"/>
          <w:kern w:val="2"/>
          <w:sz w:val="22"/>
          <w:szCs w:val="22"/>
          <w:highlight w:val="none"/>
          <w:u w:val="single"/>
          <w:lang w:val="en-US" w:eastAsia="zh-CN"/>
        </w:rPr>
        <w:t>绍兴市第七人民医院</w:t>
      </w:r>
      <w:r>
        <w:rPr>
          <w:rFonts w:hint="eastAsia" w:cs="宋体"/>
          <w:color w:val="auto"/>
          <w:kern w:val="2"/>
          <w:sz w:val="22"/>
          <w:szCs w:val="22"/>
          <w:highlight w:val="none"/>
          <w:lang w:val="en-US" w:eastAsia="zh-CN"/>
        </w:rPr>
        <w:t xml:space="preserve">  </w:t>
      </w:r>
    </w:p>
    <w:p w14:paraId="5FC73F54">
      <w:pPr>
        <w:pStyle w:val="20"/>
        <w:keepNext w:val="0"/>
        <w:keepLines w:val="0"/>
        <w:pageBreakBefore w:val="0"/>
        <w:widowControl/>
        <w:suppressLineNumbers w:val="0"/>
        <w:shd w:val="clear" w:color="auto" w:fill="FFFFFF"/>
        <w:kinsoku/>
        <w:wordWrap w:val="0"/>
        <w:overflowPunct/>
        <w:topLinePunct w:val="0"/>
        <w:autoSpaceDE/>
        <w:autoSpaceDN/>
        <w:bidi w:val="0"/>
        <w:adjustRightInd/>
        <w:snapToGrid w:val="0"/>
        <w:spacing w:before="0" w:beforeAutospacing="0" w:after="0" w:afterAutospacing="0" w:line="312" w:lineRule="auto"/>
        <w:ind w:left="0" w:right="0" w:firstLine="420"/>
        <w:jc w:val="right"/>
        <w:textAlignment w:val="auto"/>
        <w:rPr>
          <w:rFonts w:hint="eastAsia" w:ascii="宋体" w:hAnsi="宋体" w:eastAsia="宋体" w:cs="宋体"/>
          <w:color w:val="auto"/>
          <w:kern w:val="2"/>
          <w:sz w:val="22"/>
          <w:szCs w:val="22"/>
          <w:highlight w:val="none"/>
        </w:rPr>
      </w:pPr>
      <w:r>
        <w:rPr>
          <w:rFonts w:hint="eastAsia" w:ascii="宋体" w:hAnsi="宋体" w:eastAsia="宋体" w:cs="宋体"/>
          <w:color w:val="auto"/>
          <w:kern w:val="2"/>
          <w:sz w:val="22"/>
          <w:szCs w:val="22"/>
          <w:highlight w:val="none"/>
        </w:rPr>
        <w:t>代建单位：</w:t>
      </w:r>
      <w:r>
        <w:rPr>
          <w:rFonts w:hint="eastAsia" w:ascii="宋体" w:hAnsi="宋体" w:eastAsia="宋体" w:cs="宋体"/>
          <w:color w:val="auto"/>
          <w:kern w:val="2"/>
          <w:sz w:val="22"/>
          <w:szCs w:val="22"/>
          <w:highlight w:val="none"/>
          <w:u w:val="single"/>
        </w:rPr>
        <w:t>绍兴市城</w:t>
      </w:r>
      <w:r>
        <w:rPr>
          <w:rFonts w:hint="eastAsia" w:ascii="宋体" w:hAnsi="宋体" w:eastAsia="宋体" w:cs="宋体"/>
          <w:color w:val="auto"/>
          <w:kern w:val="2"/>
          <w:sz w:val="22"/>
          <w:szCs w:val="22"/>
          <w:highlight w:val="none"/>
          <w:u w:val="single"/>
          <w:lang w:val="en-US" w:eastAsia="zh-CN"/>
        </w:rPr>
        <w:t>发</w:t>
      </w:r>
      <w:r>
        <w:rPr>
          <w:rFonts w:hint="eastAsia" w:ascii="宋体" w:hAnsi="宋体" w:eastAsia="宋体" w:cs="宋体"/>
          <w:color w:val="auto"/>
          <w:kern w:val="2"/>
          <w:sz w:val="22"/>
          <w:szCs w:val="22"/>
          <w:highlight w:val="none"/>
          <w:u w:val="single"/>
        </w:rPr>
        <w:t>建设有限公司</w:t>
      </w:r>
    </w:p>
    <w:p w14:paraId="54EC9443">
      <w:pPr>
        <w:pStyle w:val="20"/>
        <w:keepNext w:val="0"/>
        <w:keepLines w:val="0"/>
        <w:pageBreakBefore w:val="0"/>
        <w:widowControl/>
        <w:suppressLineNumbers w:val="0"/>
        <w:shd w:val="clear" w:color="auto" w:fill="FFFFFF"/>
        <w:kinsoku/>
        <w:wordWrap w:val="0"/>
        <w:overflowPunct/>
        <w:topLinePunct w:val="0"/>
        <w:autoSpaceDE/>
        <w:autoSpaceDN/>
        <w:bidi w:val="0"/>
        <w:adjustRightInd/>
        <w:snapToGrid w:val="0"/>
        <w:spacing w:before="0" w:beforeAutospacing="0" w:after="0" w:afterAutospacing="0" w:line="312" w:lineRule="auto"/>
        <w:ind w:left="0" w:right="0" w:firstLine="420"/>
        <w:jc w:val="right"/>
        <w:textAlignment w:val="auto"/>
        <w:rPr>
          <w:rFonts w:hint="default" w:ascii="宋体" w:hAnsi="宋体" w:eastAsia="宋体" w:cs="宋体"/>
          <w:color w:val="auto"/>
          <w:kern w:val="2"/>
          <w:sz w:val="22"/>
          <w:szCs w:val="22"/>
          <w:highlight w:val="none"/>
          <w:lang w:val="en-US" w:eastAsia="zh-CN"/>
        </w:rPr>
      </w:pPr>
      <w:r>
        <w:rPr>
          <w:rFonts w:hint="eastAsia" w:ascii="宋体" w:hAnsi="宋体" w:cs="宋体"/>
          <w:color w:val="auto"/>
          <w:kern w:val="2"/>
          <w:sz w:val="22"/>
          <w:szCs w:val="22"/>
          <w:highlight w:val="none"/>
        </w:rPr>
        <w:t>招标代理机构：</w:t>
      </w:r>
      <w:r>
        <w:rPr>
          <w:rFonts w:hint="eastAsia" w:cs="宋体"/>
          <w:color w:val="auto"/>
          <w:kern w:val="2"/>
          <w:sz w:val="22"/>
          <w:szCs w:val="22"/>
          <w:highlight w:val="none"/>
          <w:u w:val="single"/>
          <w:lang w:val="en-US" w:eastAsia="zh-CN"/>
        </w:rPr>
        <w:t>华汇工程设计集团股份有限公司</w:t>
      </w:r>
    </w:p>
    <w:p w14:paraId="0FB36196">
      <w:pPr>
        <w:keepNext w:val="0"/>
        <w:keepLines w:val="0"/>
        <w:pageBreakBefore w:val="0"/>
        <w:widowControl/>
        <w:suppressLineNumbers w:val="0"/>
        <w:kinsoku/>
        <w:overflowPunct/>
        <w:topLinePunct w:val="0"/>
        <w:autoSpaceDE/>
        <w:autoSpaceDN/>
        <w:bidi w:val="0"/>
        <w:adjustRightInd/>
        <w:snapToGrid w:val="0"/>
        <w:spacing w:before="0" w:beforeAutospacing="0" w:afterAutospacing="0" w:line="312" w:lineRule="auto"/>
        <w:ind w:left="0" w:right="0" w:firstLine="444" w:firstLineChars="202"/>
        <w:jc w:val="right"/>
        <w:textAlignment w:val="auto"/>
        <w:rPr>
          <w:rFonts w:hint="eastAsia"/>
          <w:highlight w:val="none"/>
          <w:lang w:val="zh-CN"/>
        </w:rPr>
      </w:pPr>
      <w:r>
        <w:rPr>
          <w:rFonts w:hint="eastAsia" w:ascii="宋体" w:hAnsi="宋体" w:cs="Arial"/>
          <w:color w:val="auto"/>
          <w:kern w:val="0"/>
          <w:sz w:val="22"/>
          <w:szCs w:val="22"/>
          <w:highlight w:val="none"/>
        </w:rPr>
        <w:t xml:space="preserve"> </w:t>
      </w:r>
      <w:r>
        <w:rPr>
          <w:rFonts w:hint="eastAsia" w:ascii="宋体" w:hAnsi="宋体" w:cs="Arial"/>
          <w:color w:val="auto"/>
          <w:kern w:val="0"/>
          <w:sz w:val="22"/>
          <w:szCs w:val="22"/>
          <w:highlight w:val="none"/>
          <w:u w:val="single"/>
          <w:lang w:val="en-US" w:eastAsia="zh-CN"/>
        </w:rPr>
        <w:t>2026</w:t>
      </w:r>
      <w:r>
        <w:rPr>
          <w:rFonts w:hint="eastAsia" w:ascii="宋体" w:hAnsi="宋体" w:cs="Arial"/>
          <w:color w:val="auto"/>
          <w:kern w:val="0"/>
          <w:sz w:val="22"/>
          <w:szCs w:val="22"/>
          <w:highlight w:val="none"/>
        </w:rPr>
        <w:t>年</w:t>
      </w:r>
      <w:r>
        <w:rPr>
          <w:rFonts w:hint="eastAsia" w:ascii="宋体" w:hAnsi="宋体" w:cs="Arial"/>
          <w:color w:val="auto"/>
          <w:kern w:val="0"/>
          <w:sz w:val="22"/>
          <w:szCs w:val="22"/>
          <w:highlight w:val="none"/>
          <w:u w:val="single"/>
          <w:lang w:val="en-US" w:eastAsia="zh-CN"/>
        </w:rPr>
        <w:t xml:space="preserve">  </w:t>
      </w:r>
      <w:r>
        <w:rPr>
          <w:rFonts w:hint="eastAsia" w:ascii="宋体" w:hAnsi="宋体" w:cs="Arial"/>
          <w:color w:val="auto"/>
          <w:kern w:val="0"/>
          <w:sz w:val="22"/>
          <w:szCs w:val="22"/>
          <w:highlight w:val="none"/>
        </w:rPr>
        <w:t>月</w:t>
      </w:r>
      <w:r>
        <w:rPr>
          <w:rFonts w:hint="eastAsia" w:ascii="宋体" w:hAnsi="宋体" w:cs="Arial"/>
          <w:color w:val="auto"/>
          <w:kern w:val="0"/>
          <w:sz w:val="22"/>
          <w:szCs w:val="22"/>
          <w:highlight w:val="none"/>
          <w:u w:val="single"/>
          <w:lang w:val="en-US" w:eastAsia="zh-CN"/>
        </w:rPr>
        <w:t xml:space="preserve">  </w:t>
      </w:r>
      <w:r>
        <w:rPr>
          <w:rFonts w:hint="eastAsia" w:ascii="宋体" w:hAnsi="宋体" w:cs="Arial"/>
          <w:color w:val="auto"/>
          <w:kern w:val="0"/>
          <w:sz w:val="22"/>
          <w:szCs w:val="22"/>
          <w:highlight w:val="none"/>
        </w:rPr>
        <w:t>日</w:t>
      </w:r>
    </w:p>
    <w:p w14:paraId="1E5D5C24">
      <w:pPr>
        <w:rPr>
          <w:rFonts w:hint="eastAsia"/>
          <w:b/>
          <w:color w:val="auto"/>
          <w:sz w:val="32"/>
          <w:szCs w:val="24"/>
          <w:highlight w:val="none"/>
        </w:rPr>
      </w:pPr>
      <w:r>
        <w:rPr>
          <w:rFonts w:hint="eastAsia"/>
          <w:b/>
          <w:color w:val="auto"/>
          <w:sz w:val="32"/>
          <w:szCs w:val="24"/>
          <w:highlight w:val="none"/>
        </w:rPr>
        <w:br w:type="page"/>
      </w:r>
    </w:p>
    <w:p w14:paraId="651734E0">
      <w:pPr>
        <w:keepNext/>
        <w:widowControl/>
        <w:tabs>
          <w:tab w:val="left" w:pos="851"/>
        </w:tabs>
        <w:spacing w:line="360" w:lineRule="auto"/>
        <w:jc w:val="center"/>
        <w:outlineLvl w:val="0"/>
        <w:rPr>
          <w:rFonts w:hint="eastAsia" w:ascii="宋体" w:hAnsi="宋体" w:cs="Times New Roman"/>
          <w:b/>
          <w:color w:val="auto"/>
          <w:kern w:val="44"/>
          <w:sz w:val="44"/>
          <w:szCs w:val="24"/>
          <w:highlight w:val="none"/>
          <w:lang w:val="zh-CN"/>
        </w:rPr>
      </w:pPr>
      <w:r>
        <w:rPr>
          <w:rFonts w:hint="eastAsia"/>
          <w:b/>
          <w:color w:val="auto"/>
          <w:sz w:val="32"/>
          <w:szCs w:val="24"/>
          <w:highlight w:val="none"/>
        </w:rPr>
        <w:t>第二章</w:t>
      </w:r>
      <w:r>
        <w:rPr>
          <w:rFonts w:hint="eastAsia" w:ascii="Calibri" w:hAnsi="Calibri" w:eastAsia="Calibri"/>
          <w:b/>
          <w:color w:val="auto"/>
          <w:sz w:val="32"/>
          <w:szCs w:val="24"/>
          <w:highlight w:val="none"/>
        </w:rPr>
        <w:t xml:space="preserve">  </w:t>
      </w:r>
      <w:r>
        <w:rPr>
          <w:rFonts w:hint="eastAsia"/>
          <w:b/>
          <w:color w:val="auto"/>
          <w:sz w:val="32"/>
          <w:szCs w:val="24"/>
          <w:highlight w:val="none"/>
        </w:rPr>
        <w:t>投标人须知</w:t>
      </w:r>
    </w:p>
    <w:p w14:paraId="1EB18DD2">
      <w:pPr>
        <w:keepNext/>
        <w:widowControl/>
        <w:tabs>
          <w:tab w:val="left" w:pos="851"/>
        </w:tabs>
        <w:spacing w:line="360" w:lineRule="auto"/>
        <w:jc w:val="left"/>
        <w:outlineLvl w:val="0"/>
        <w:rPr>
          <w:rFonts w:ascii="宋体" w:hAnsi="宋体" w:cs="Times New Roman"/>
          <w:b/>
          <w:color w:val="auto"/>
          <w:kern w:val="44"/>
          <w:sz w:val="44"/>
          <w:szCs w:val="24"/>
          <w:highlight w:val="none"/>
          <w:lang w:val="zh-CN"/>
        </w:rPr>
      </w:pPr>
      <w:r>
        <w:rPr>
          <w:rFonts w:hint="eastAsia" w:ascii="宋体" w:hAnsi="宋体" w:cs="Times New Roman"/>
          <w:b/>
          <w:color w:val="auto"/>
          <w:kern w:val="44"/>
          <w:sz w:val="24"/>
          <w:szCs w:val="24"/>
          <w:highlight w:val="none"/>
          <w:lang w:val="zh-CN"/>
        </w:rPr>
        <w:t>前附表</w:t>
      </w:r>
      <w:bookmarkEnd w:id="1"/>
      <w:bookmarkEnd w:id="2"/>
    </w:p>
    <w:tbl>
      <w:tblPr>
        <w:tblStyle w:val="23"/>
        <w:tblW w:w="9329" w:type="dxa"/>
        <w:tblInd w:w="17" w:type="dxa"/>
        <w:tblLayout w:type="fixed"/>
        <w:tblCellMar>
          <w:top w:w="0" w:type="dxa"/>
          <w:left w:w="108" w:type="dxa"/>
          <w:bottom w:w="0" w:type="dxa"/>
          <w:right w:w="108" w:type="dxa"/>
        </w:tblCellMar>
      </w:tblPr>
      <w:tblGrid>
        <w:gridCol w:w="809"/>
        <w:gridCol w:w="891"/>
        <w:gridCol w:w="7629"/>
      </w:tblGrid>
      <w:tr w14:paraId="70C1044F">
        <w:tblPrEx>
          <w:tblCellMar>
            <w:top w:w="0" w:type="dxa"/>
            <w:left w:w="108" w:type="dxa"/>
            <w:bottom w:w="0" w:type="dxa"/>
            <w:right w:w="108" w:type="dxa"/>
          </w:tblCellMar>
        </w:tblPrEx>
        <w:trPr>
          <w:trHeight w:val="660" w:hRule="atLeast"/>
        </w:trPr>
        <w:tc>
          <w:tcPr>
            <w:tcW w:w="809" w:type="dxa"/>
            <w:tcBorders>
              <w:top w:val="single" w:color="auto" w:sz="6" w:space="0"/>
              <w:left w:val="single" w:color="auto" w:sz="6" w:space="0"/>
              <w:bottom w:val="single" w:color="auto" w:sz="6" w:space="0"/>
              <w:right w:val="single" w:color="auto" w:sz="6" w:space="0"/>
            </w:tcBorders>
            <w:vAlign w:val="center"/>
          </w:tcPr>
          <w:p w14:paraId="7AFAE6BB">
            <w:pPr>
              <w:keepNext w:val="0"/>
              <w:keepLines w:val="0"/>
              <w:pageBreakBefore w:val="0"/>
              <w:suppressLineNumbers w:val="0"/>
              <w:kinsoku/>
              <w:wordWrap/>
              <w:overflowPunct/>
              <w:topLinePunct w:val="0"/>
              <w:bidi w:val="0"/>
              <w:adjustRightInd/>
              <w:snapToGrid w:val="0"/>
              <w:spacing w:before="0" w:beforeAutospacing="0" w:after="0" w:afterAutospacing="0" w:line="360" w:lineRule="auto"/>
              <w:ind w:left="0" w:right="0"/>
              <w:jc w:val="center"/>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rPr>
              <w:t>序号</w:t>
            </w:r>
          </w:p>
        </w:tc>
        <w:tc>
          <w:tcPr>
            <w:tcW w:w="8520" w:type="dxa"/>
            <w:gridSpan w:val="2"/>
            <w:tcBorders>
              <w:top w:val="single" w:color="auto" w:sz="6" w:space="0"/>
              <w:left w:val="single" w:color="auto" w:sz="6" w:space="0"/>
              <w:bottom w:val="single" w:color="auto" w:sz="6" w:space="0"/>
              <w:right w:val="single" w:color="auto" w:sz="6" w:space="0"/>
            </w:tcBorders>
            <w:vAlign w:val="center"/>
          </w:tcPr>
          <w:p w14:paraId="4D166F5A">
            <w:pPr>
              <w:keepNext w:val="0"/>
              <w:keepLines w:val="0"/>
              <w:pageBreakBefore w:val="0"/>
              <w:suppressLineNumbers w:val="0"/>
              <w:kinsoku/>
              <w:wordWrap/>
              <w:overflowPunct/>
              <w:topLinePunct w:val="0"/>
              <w:bidi w:val="0"/>
              <w:adjustRightInd/>
              <w:snapToGrid w:val="0"/>
              <w:spacing w:before="0" w:beforeAutospacing="0" w:after="0" w:afterAutospacing="0" w:line="360" w:lineRule="auto"/>
              <w:ind w:left="0" w:right="0"/>
              <w:jc w:val="center"/>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rPr>
              <w:t>内            容</w:t>
            </w:r>
          </w:p>
        </w:tc>
      </w:tr>
      <w:tr w14:paraId="7FF0B58E">
        <w:tblPrEx>
          <w:tblCellMar>
            <w:top w:w="0" w:type="dxa"/>
            <w:left w:w="108" w:type="dxa"/>
            <w:bottom w:w="0" w:type="dxa"/>
            <w:right w:w="108" w:type="dxa"/>
          </w:tblCellMar>
        </w:tblPrEx>
        <w:trPr>
          <w:trHeight w:val="5229" w:hRule="atLeast"/>
        </w:trPr>
        <w:tc>
          <w:tcPr>
            <w:tcW w:w="809" w:type="dxa"/>
            <w:tcBorders>
              <w:top w:val="single" w:color="auto" w:sz="6" w:space="0"/>
              <w:left w:val="single" w:color="auto" w:sz="6" w:space="0"/>
              <w:bottom w:val="single" w:color="auto" w:sz="6" w:space="0"/>
              <w:right w:val="single" w:color="auto" w:sz="6" w:space="0"/>
            </w:tcBorders>
            <w:vAlign w:val="center"/>
          </w:tcPr>
          <w:p w14:paraId="1300B25A">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891" w:type="dxa"/>
            <w:tcBorders>
              <w:top w:val="single" w:color="auto" w:sz="6" w:space="0"/>
              <w:left w:val="single" w:color="auto" w:sz="6" w:space="0"/>
              <w:bottom w:val="single" w:color="auto" w:sz="6" w:space="0"/>
              <w:right w:val="single" w:color="auto" w:sz="6" w:space="0"/>
            </w:tcBorders>
            <w:vAlign w:val="center"/>
          </w:tcPr>
          <w:p w14:paraId="6070B510">
            <w:pPr>
              <w:keepNext w:val="0"/>
              <w:keepLines w:val="0"/>
              <w:pageBreakBefore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工程</w:t>
            </w:r>
          </w:p>
          <w:p w14:paraId="34B11A2C">
            <w:pPr>
              <w:keepNext w:val="0"/>
              <w:keepLines w:val="0"/>
              <w:pageBreakBefore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综合</w:t>
            </w:r>
          </w:p>
          <w:p w14:paraId="2A801FE9">
            <w:pPr>
              <w:keepNext w:val="0"/>
              <w:keepLines w:val="0"/>
              <w:pageBreakBefore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说明</w:t>
            </w:r>
          </w:p>
        </w:tc>
        <w:tc>
          <w:tcPr>
            <w:tcW w:w="7629" w:type="dxa"/>
            <w:tcBorders>
              <w:top w:val="single" w:color="auto" w:sz="6" w:space="0"/>
              <w:left w:val="single" w:color="auto" w:sz="6" w:space="0"/>
              <w:bottom w:val="single" w:color="auto" w:sz="6" w:space="0"/>
              <w:right w:val="single" w:color="auto" w:sz="6" w:space="0"/>
            </w:tcBorders>
            <w:vAlign w:val="center"/>
          </w:tcPr>
          <w:p w14:paraId="5582D0AD">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textAlignment w:val="auto"/>
              <w:rPr>
                <w:rFonts w:hint="eastAsia" w:ascii="宋体" w:hAnsi="宋体" w:eastAsia="宋体" w:cs="宋体"/>
                <w:color w:val="auto"/>
                <w:kern w:val="0"/>
                <w:sz w:val="22"/>
                <w:szCs w:val="22"/>
                <w:highlight w:val="none"/>
                <w:u w:val="none"/>
              </w:rPr>
            </w:pPr>
            <w:r>
              <w:rPr>
                <w:rFonts w:hint="eastAsia" w:ascii="宋体" w:hAnsi="宋体" w:eastAsia="宋体" w:cs="宋体"/>
                <w:color w:val="auto"/>
                <w:kern w:val="0"/>
                <w:sz w:val="22"/>
                <w:szCs w:val="22"/>
                <w:highlight w:val="none"/>
              </w:rPr>
              <w:t>工程名称：</w:t>
            </w:r>
            <w:r>
              <w:rPr>
                <w:rFonts w:hint="eastAsia" w:ascii="宋体" w:hAnsi="宋体" w:cs="宋体"/>
                <w:color w:val="auto"/>
                <w:kern w:val="0"/>
                <w:sz w:val="22"/>
                <w:szCs w:val="22"/>
                <w:highlight w:val="none"/>
                <w:u w:val="single"/>
                <w:lang w:val="en-US" w:eastAsia="zh-CN"/>
              </w:rPr>
              <w:t>绍兴市第七人民医院新院区建设工程室内分布系统项目</w:t>
            </w:r>
          </w:p>
          <w:p w14:paraId="2C448ACC">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jc w:val="left"/>
              <w:textAlignment w:val="auto"/>
              <w:rPr>
                <w:rFonts w:hint="default" w:ascii="宋体" w:hAnsi="宋体" w:eastAsia="宋体" w:cs="宋体"/>
                <w:bCs/>
                <w:color w:val="auto"/>
                <w:sz w:val="22"/>
                <w:szCs w:val="22"/>
                <w:highlight w:val="none"/>
                <w:u w:val="none"/>
                <w:lang w:val="en-US" w:eastAsia="zh-CN"/>
              </w:rPr>
            </w:pPr>
            <w:bookmarkStart w:id="3" w:name="_Toc30569"/>
            <w:bookmarkStart w:id="4" w:name="_Toc68097079"/>
            <w:bookmarkStart w:id="5" w:name="_Toc4690"/>
            <w:bookmarkStart w:id="6" w:name="_Toc30847"/>
            <w:bookmarkStart w:id="7" w:name="_Toc5024"/>
            <w:bookmarkStart w:id="8" w:name="_Toc15640"/>
            <w:r>
              <w:rPr>
                <w:rFonts w:hint="eastAsia" w:ascii="宋体" w:hAnsi="宋体" w:eastAsia="宋体" w:cs="宋体"/>
                <w:color w:val="auto"/>
                <w:kern w:val="0"/>
                <w:sz w:val="22"/>
                <w:szCs w:val="22"/>
                <w:highlight w:val="none"/>
              </w:rPr>
              <w:t>建</w:t>
            </w:r>
            <w:r>
              <w:rPr>
                <w:rFonts w:hint="eastAsia" w:ascii="宋体" w:hAnsi="宋体" w:eastAsia="宋体" w:cs="宋体"/>
                <w:color w:val="auto"/>
                <w:kern w:val="0"/>
                <w:sz w:val="22"/>
                <w:szCs w:val="22"/>
                <w:highlight w:val="none"/>
                <w:lang w:val="en-US" w:eastAsia="zh-CN"/>
              </w:rPr>
              <w:t>设</w:t>
            </w:r>
            <w:r>
              <w:rPr>
                <w:rFonts w:hint="eastAsia" w:ascii="宋体" w:hAnsi="宋体" w:eastAsia="宋体" w:cs="宋体"/>
                <w:bCs/>
                <w:color w:val="auto"/>
                <w:sz w:val="22"/>
                <w:szCs w:val="22"/>
                <w:highlight w:val="none"/>
                <w:u w:val="none"/>
                <w:lang w:val="en-US" w:eastAsia="zh-CN"/>
              </w:rPr>
              <w:t>规模：</w:t>
            </w:r>
            <w:r>
              <w:rPr>
                <w:rFonts w:hint="eastAsia"/>
                <w:b w:val="0"/>
                <w:bCs/>
                <w:color w:val="auto"/>
                <w:sz w:val="22"/>
                <w:szCs w:val="22"/>
                <w:highlight w:val="none"/>
                <w:u w:val="single"/>
                <w:lang w:val="en-US" w:eastAsia="zh-CN"/>
              </w:rPr>
              <w:t>项目总建筑面积约 107608.36平方米，其中：地上建筑面积约70902.49平方米，地下建筑面积约36705.87平方米。项目按三甲精神专科医院标准建设，设置床位800张，新建设备用房、科研办公楼、综合门诊楼、综合住院楼、心身医学中心等。</w:t>
            </w:r>
            <w:r>
              <w:rPr>
                <w:rFonts w:hint="eastAsia" w:ascii="宋体" w:hAnsi="宋体" w:eastAsia="宋体" w:cs="宋体"/>
                <w:bCs/>
                <w:color w:val="auto"/>
                <w:kern w:val="2"/>
                <w:sz w:val="22"/>
                <w:szCs w:val="22"/>
                <w:highlight w:val="none"/>
                <w:u w:val="single"/>
                <w:lang w:val="en-US" w:eastAsia="zh-CN" w:bidi="ar-SA"/>
              </w:rPr>
              <w:t>。</w:t>
            </w:r>
          </w:p>
          <w:p w14:paraId="0FCC1EC6">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jc w:val="left"/>
              <w:textAlignment w:val="auto"/>
              <w:rPr>
                <w:rFonts w:hint="default" w:ascii="宋体" w:hAnsi="宋体" w:eastAsia="宋体" w:cs="宋体"/>
                <w:bCs/>
                <w:color w:val="auto"/>
                <w:sz w:val="22"/>
                <w:szCs w:val="22"/>
                <w:highlight w:val="none"/>
                <w:u w:val="single"/>
                <w:lang w:val="en-US" w:eastAsia="zh-CN"/>
              </w:rPr>
            </w:pPr>
            <w:r>
              <w:rPr>
                <w:rFonts w:hint="eastAsia" w:ascii="宋体" w:hAnsi="宋体" w:eastAsia="宋体" w:cs="宋体"/>
                <w:bCs/>
                <w:color w:val="auto"/>
                <w:sz w:val="22"/>
                <w:szCs w:val="22"/>
                <w:highlight w:val="none"/>
                <w:u w:val="none"/>
                <w:lang w:val="en-US" w:eastAsia="zh-CN"/>
              </w:rPr>
              <w:t>招标范围</w:t>
            </w:r>
            <w:r>
              <w:rPr>
                <w:rFonts w:hint="eastAsia" w:ascii="宋体" w:hAnsi="宋体" w:eastAsia="宋体" w:cs="宋体"/>
                <w:color w:val="auto"/>
                <w:kern w:val="0"/>
                <w:sz w:val="22"/>
                <w:szCs w:val="22"/>
                <w:highlight w:val="none"/>
                <w:u w:val="none"/>
                <w:lang w:eastAsia="zh-CN"/>
              </w:rPr>
              <w:t>：</w:t>
            </w:r>
            <w:r>
              <w:rPr>
                <w:rFonts w:hint="eastAsia" w:cs="宋体"/>
                <w:bCs/>
                <w:color w:val="auto"/>
                <w:kern w:val="2"/>
                <w:sz w:val="22"/>
                <w:szCs w:val="22"/>
                <w:highlight w:val="none"/>
                <w:u w:val="single"/>
                <w:lang w:val="en-US" w:eastAsia="zh-CN" w:bidi="ar-SA"/>
              </w:rPr>
              <w:t>本项目招标人指定范围内的的地基基础检测（桩基检测）、室内环境检测，见证取样检测，详见招标清单，具体做法与要求符合设计图纸、规范和建筑行业相关主管部门及招标人要求。</w:t>
            </w:r>
          </w:p>
          <w:p w14:paraId="2CD6B049">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textAlignment w:val="auto"/>
              <w:rPr>
                <w:rFonts w:hint="eastAsia" w:ascii="宋体" w:hAnsi="宋体" w:eastAsia="宋体" w:cs="宋体"/>
                <w:color w:val="auto"/>
                <w:kern w:val="0"/>
                <w:sz w:val="22"/>
                <w:szCs w:val="22"/>
                <w:highlight w:val="none"/>
                <w:u w:val="none"/>
                <w:lang w:eastAsia="zh-CN"/>
              </w:rPr>
            </w:pPr>
            <w:r>
              <w:rPr>
                <w:rFonts w:hint="eastAsia" w:ascii="宋体" w:hAnsi="宋体" w:eastAsia="宋体" w:cs="宋体"/>
                <w:color w:val="auto"/>
                <w:kern w:val="0"/>
                <w:sz w:val="22"/>
                <w:szCs w:val="22"/>
                <w:highlight w:val="none"/>
                <w:u w:val="none"/>
                <w:lang w:eastAsia="zh-CN"/>
              </w:rPr>
              <w:t>质量标准：</w:t>
            </w:r>
            <w:r>
              <w:rPr>
                <w:rFonts w:hint="eastAsia" w:ascii="宋体" w:hAnsi="宋体" w:eastAsia="宋体" w:cs="宋体"/>
                <w:color w:val="auto"/>
                <w:kern w:val="0"/>
                <w:sz w:val="22"/>
                <w:szCs w:val="22"/>
                <w:highlight w:val="none"/>
                <w:u w:val="single"/>
                <w:lang w:val="en-US" w:eastAsia="zh-CN"/>
              </w:rPr>
              <w:t>合格并</w:t>
            </w:r>
            <w:r>
              <w:rPr>
                <w:rFonts w:hint="eastAsia" w:ascii="宋体" w:hAnsi="宋体" w:eastAsia="宋体" w:cs="宋体"/>
                <w:color w:val="auto"/>
                <w:kern w:val="0"/>
                <w:sz w:val="22"/>
                <w:szCs w:val="22"/>
                <w:highlight w:val="none"/>
                <w:u w:val="single"/>
                <w:lang w:eastAsia="zh-CN"/>
              </w:rPr>
              <w:t>取得《准予接入公用电信网通知书》（无线室分）</w:t>
            </w:r>
            <w:r>
              <w:rPr>
                <w:rFonts w:hint="eastAsia" w:ascii="宋体" w:hAnsi="宋体" w:eastAsia="宋体" w:cs="宋体"/>
                <w:color w:val="auto"/>
                <w:kern w:val="0"/>
                <w:sz w:val="22"/>
                <w:szCs w:val="22"/>
                <w:highlight w:val="none"/>
                <w:u w:val="none"/>
                <w:lang w:eastAsia="zh-CN"/>
              </w:rPr>
              <w:t>。</w:t>
            </w:r>
          </w:p>
          <w:bookmarkEnd w:id="3"/>
          <w:bookmarkEnd w:id="4"/>
          <w:bookmarkEnd w:id="5"/>
          <w:bookmarkEnd w:id="6"/>
          <w:bookmarkEnd w:id="7"/>
          <w:bookmarkEnd w:id="8"/>
          <w:p w14:paraId="64B0907A">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textAlignment w:val="auto"/>
              <w:rPr>
                <w:rFonts w:hint="eastAsia" w:ascii="宋体" w:hAnsi="宋体" w:eastAsia="宋体" w:cs="宋体"/>
                <w:color w:val="auto"/>
                <w:kern w:val="0"/>
                <w:sz w:val="22"/>
                <w:szCs w:val="22"/>
                <w:highlight w:val="none"/>
                <w:u w:val="none"/>
                <w:lang w:eastAsia="zh-CN"/>
              </w:rPr>
            </w:pPr>
            <w:r>
              <w:rPr>
                <w:rFonts w:hint="eastAsia" w:ascii="宋体" w:hAnsi="宋体" w:cs="宋体"/>
                <w:color w:val="auto"/>
                <w:kern w:val="0"/>
                <w:sz w:val="22"/>
                <w:szCs w:val="22"/>
                <w:highlight w:val="none"/>
                <w:u w:val="none"/>
                <w:lang w:eastAsia="zh-CN"/>
              </w:rPr>
              <w:t>项目工期</w:t>
            </w:r>
            <w:r>
              <w:rPr>
                <w:rFonts w:hint="eastAsia" w:ascii="宋体" w:hAnsi="宋体" w:eastAsia="宋体" w:cs="宋体"/>
                <w:color w:val="auto"/>
                <w:kern w:val="0"/>
                <w:sz w:val="22"/>
                <w:szCs w:val="22"/>
                <w:highlight w:val="none"/>
                <w:u w:val="none"/>
                <w:lang w:eastAsia="zh-CN"/>
              </w:rPr>
              <w:t>：</w:t>
            </w:r>
            <w:r>
              <w:rPr>
                <w:rFonts w:hint="eastAsia" w:ascii="宋体" w:hAnsi="宋体" w:cs="宋体"/>
                <w:color w:val="auto"/>
                <w:kern w:val="0"/>
                <w:sz w:val="22"/>
                <w:szCs w:val="22"/>
                <w:highlight w:val="none"/>
                <w:u w:val="single"/>
                <w:lang w:val="en-US" w:eastAsia="zh-CN"/>
              </w:rPr>
              <w:t>90日历天，并不得影响总包总进度计划（以招标人发出的开工指令为准，至本项目</w:t>
            </w:r>
            <w:r>
              <w:rPr>
                <w:rFonts w:hint="eastAsia" w:ascii="宋体" w:hAnsi="宋体" w:cs="宋体"/>
                <w:color w:val="auto"/>
                <w:kern w:val="0"/>
                <w:sz w:val="22"/>
                <w:szCs w:val="22"/>
                <w:highlight w:val="none"/>
                <w:u w:val="single"/>
                <w:lang w:eastAsia="zh-CN"/>
              </w:rPr>
              <w:t>取得《准予接入公用电信网通知书》（无线室分）</w:t>
            </w:r>
            <w:r>
              <w:rPr>
                <w:rFonts w:hint="eastAsia" w:ascii="宋体" w:hAnsi="宋体" w:cs="宋体"/>
                <w:color w:val="auto"/>
                <w:kern w:val="0"/>
                <w:sz w:val="22"/>
                <w:szCs w:val="22"/>
                <w:highlight w:val="none"/>
                <w:u w:val="single"/>
                <w:lang w:val="en-US" w:eastAsia="zh-CN"/>
              </w:rPr>
              <w:t>之日止）</w:t>
            </w:r>
            <w:r>
              <w:rPr>
                <w:rFonts w:hint="eastAsia" w:ascii="宋体" w:hAnsi="宋体" w:eastAsia="宋体" w:cs="宋体"/>
                <w:color w:val="auto"/>
                <w:kern w:val="0"/>
                <w:sz w:val="22"/>
                <w:szCs w:val="22"/>
                <w:highlight w:val="none"/>
                <w:u w:val="none"/>
                <w:lang w:eastAsia="zh-CN"/>
              </w:rPr>
              <w:t>。</w:t>
            </w:r>
          </w:p>
          <w:p w14:paraId="1193A5EF">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u w:val="none"/>
                <w:lang w:eastAsia="zh-CN"/>
              </w:rPr>
              <w:t>本次招标控制价：</w:t>
            </w:r>
            <w:r>
              <w:rPr>
                <w:rFonts w:hint="eastAsia" w:ascii="宋体" w:hAnsi="宋体" w:eastAsia="宋体" w:cs="宋体"/>
                <w:color w:val="auto"/>
                <w:kern w:val="0"/>
                <w:sz w:val="22"/>
                <w:szCs w:val="22"/>
                <w:highlight w:val="none"/>
                <w:u w:val="single"/>
                <w:lang w:eastAsia="zh-CN"/>
              </w:rPr>
              <w:t>约107万元。（具体以审定后的招标控制价为准）</w:t>
            </w:r>
            <w:r>
              <w:rPr>
                <w:rFonts w:hint="eastAsia" w:ascii="宋体" w:hAnsi="宋体" w:eastAsia="宋体" w:cs="宋体"/>
                <w:color w:val="auto"/>
                <w:kern w:val="0"/>
                <w:sz w:val="22"/>
                <w:szCs w:val="22"/>
                <w:highlight w:val="none"/>
                <w:u w:val="none"/>
                <w:lang w:eastAsia="zh-CN"/>
              </w:rPr>
              <w:t>。</w:t>
            </w:r>
          </w:p>
        </w:tc>
      </w:tr>
      <w:tr w14:paraId="44284B88">
        <w:tblPrEx>
          <w:tblCellMar>
            <w:top w:w="0" w:type="dxa"/>
            <w:left w:w="108" w:type="dxa"/>
            <w:bottom w:w="0" w:type="dxa"/>
            <w:right w:w="108" w:type="dxa"/>
          </w:tblCellMar>
        </w:tblPrEx>
        <w:trPr>
          <w:trHeight w:val="616" w:hRule="atLeast"/>
        </w:trPr>
        <w:tc>
          <w:tcPr>
            <w:tcW w:w="809" w:type="dxa"/>
            <w:tcBorders>
              <w:top w:val="single" w:color="auto" w:sz="6" w:space="0"/>
              <w:left w:val="single" w:color="auto" w:sz="6" w:space="0"/>
              <w:bottom w:val="single" w:color="auto" w:sz="6" w:space="0"/>
              <w:right w:val="single" w:color="auto" w:sz="6" w:space="0"/>
            </w:tcBorders>
            <w:vAlign w:val="center"/>
          </w:tcPr>
          <w:p w14:paraId="25052090">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jc w:val="center"/>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2</w:t>
            </w:r>
          </w:p>
        </w:tc>
        <w:tc>
          <w:tcPr>
            <w:tcW w:w="8520" w:type="dxa"/>
            <w:gridSpan w:val="2"/>
            <w:tcBorders>
              <w:top w:val="single" w:color="auto" w:sz="6" w:space="0"/>
              <w:left w:val="single" w:color="auto" w:sz="6" w:space="0"/>
              <w:bottom w:val="single" w:color="auto" w:sz="6" w:space="0"/>
              <w:right w:val="single" w:color="auto" w:sz="6" w:space="0"/>
            </w:tcBorders>
            <w:vAlign w:val="center"/>
          </w:tcPr>
          <w:p w14:paraId="03F1D7BE">
            <w:pPr>
              <w:keepNext w:val="0"/>
              <w:keepLines w:val="0"/>
              <w:pageBreakBefore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资金来源：</w:t>
            </w:r>
            <w:r>
              <w:rPr>
                <w:rFonts w:hint="eastAsia" w:ascii="宋体" w:hAnsi="宋体" w:cs="宋体"/>
                <w:b w:val="0"/>
                <w:color w:val="auto"/>
                <w:kern w:val="0"/>
                <w:sz w:val="22"/>
                <w:szCs w:val="22"/>
                <w:highlight w:val="none"/>
                <w:u w:val="single"/>
                <w:lang w:val="en-US" w:eastAsia="zh-CN"/>
              </w:rPr>
              <w:t>财政</w:t>
            </w:r>
          </w:p>
        </w:tc>
      </w:tr>
      <w:tr w14:paraId="3A7EA08E">
        <w:tblPrEx>
          <w:tblCellMar>
            <w:top w:w="0" w:type="dxa"/>
            <w:left w:w="108" w:type="dxa"/>
            <w:bottom w:w="0" w:type="dxa"/>
            <w:right w:w="108" w:type="dxa"/>
          </w:tblCellMar>
        </w:tblPrEx>
        <w:trPr>
          <w:trHeight w:val="507" w:hRule="atLeast"/>
        </w:trPr>
        <w:tc>
          <w:tcPr>
            <w:tcW w:w="809" w:type="dxa"/>
            <w:tcBorders>
              <w:top w:val="single" w:color="auto" w:sz="6" w:space="0"/>
              <w:left w:val="single" w:color="auto" w:sz="6" w:space="0"/>
              <w:bottom w:val="single" w:color="auto" w:sz="6" w:space="0"/>
              <w:right w:val="single" w:color="auto" w:sz="6" w:space="0"/>
            </w:tcBorders>
            <w:vAlign w:val="center"/>
          </w:tcPr>
          <w:p w14:paraId="50C5AF20">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jc w:val="center"/>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3</w:t>
            </w:r>
          </w:p>
        </w:tc>
        <w:tc>
          <w:tcPr>
            <w:tcW w:w="8520" w:type="dxa"/>
            <w:gridSpan w:val="2"/>
            <w:tcBorders>
              <w:top w:val="single" w:color="auto" w:sz="6" w:space="0"/>
              <w:left w:val="single" w:color="auto" w:sz="6" w:space="0"/>
              <w:bottom w:val="single" w:color="auto" w:sz="6" w:space="0"/>
              <w:right w:val="single" w:color="auto" w:sz="6" w:space="0"/>
            </w:tcBorders>
            <w:vAlign w:val="center"/>
          </w:tcPr>
          <w:p w14:paraId="24421EB7">
            <w:pPr>
              <w:pStyle w:val="20"/>
              <w:keepNext w:val="0"/>
              <w:keepLines w:val="0"/>
              <w:pageBreakBefore w:val="0"/>
              <w:widowControl/>
              <w:suppressLineNumbers w:val="0"/>
              <w:shd w:val="clear" w:color="auto" w:fill="FFFFFF"/>
              <w:kinsoku/>
              <w:wordWrap/>
              <w:overflowPunct/>
              <w:topLinePunct w:val="0"/>
              <w:bidi w:val="0"/>
              <w:adjustRightInd/>
              <w:snapToGrid w:val="0"/>
              <w:spacing w:before="0" w:beforeAutospacing="0" w:after="0" w:afterAutospacing="0" w:line="360" w:lineRule="auto"/>
              <w:ind w:left="0" w:right="0"/>
              <w:jc w:val="left"/>
              <w:textAlignment w:val="auto"/>
              <w:rPr>
                <w:rFonts w:hint="eastAsia" w:ascii="宋体" w:hAnsi="宋体" w:cs="宋体"/>
                <w:color w:val="auto"/>
                <w:kern w:val="2"/>
                <w:sz w:val="22"/>
                <w:szCs w:val="22"/>
                <w:highlight w:val="none"/>
                <w:u w:val="single"/>
              </w:rPr>
            </w:pPr>
            <w:r>
              <w:rPr>
                <w:rFonts w:hint="eastAsia" w:cs="宋体"/>
                <w:color w:val="auto"/>
                <w:kern w:val="2"/>
                <w:sz w:val="22"/>
                <w:szCs w:val="22"/>
                <w:highlight w:val="none"/>
                <w:lang w:val="en-US" w:eastAsia="zh-CN"/>
              </w:rPr>
              <w:t>1、</w:t>
            </w:r>
            <w:r>
              <w:rPr>
                <w:rFonts w:hint="eastAsia"/>
                <w:color w:val="auto"/>
                <w:sz w:val="22"/>
                <w:szCs w:val="22"/>
                <w:highlight w:val="none"/>
                <w:u w:val="single"/>
                <w:lang w:val="en-US" w:eastAsia="zh-CN"/>
              </w:rPr>
              <w:t>投标人</w:t>
            </w:r>
            <w:r>
              <w:rPr>
                <w:rFonts w:hint="eastAsia"/>
                <w:color w:val="auto"/>
                <w:sz w:val="22"/>
                <w:szCs w:val="22"/>
                <w:highlight w:val="none"/>
                <w:u w:val="single"/>
                <w:lang w:eastAsia="zh-CN"/>
              </w:rPr>
              <w:t>自</w:t>
            </w:r>
            <w:r>
              <w:rPr>
                <w:rFonts w:hint="eastAsia"/>
                <w:color w:val="auto"/>
                <w:sz w:val="22"/>
                <w:szCs w:val="22"/>
                <w:highlight w:val="none"/>
                <w:u w:val="single"/>
                <w:lang w:val="en-US" w:eastAsia="zh-CN"/>
              </w:rPr>
              <w:t>2023</w:t>
            </w:r>
            <w:r>
              <w:rPr>
                <w:rFonts w:hint="eastAsia"/>
                <w:color w:val="auto"/>
                <w:sz w:val="22"/>
                <w:szCs w:val="22"/>
                <w:highlight w:val="none"/>
                <w:u w:val="single"/>
                <w:lang w:eastAsia="zh-CN"/>
              </w:rPr>
              <w:t>年</w:t>
            </w:r>
            <w:r>
              <w:rPr>
                <w:rFonts w:hint="eastAsia"/>
                <w:color w:val="auto"/>
                <w:sz w:val="22"/>
                <w:szCs w:val="22"/>
                <w:highlight w:val="none"/>
                <w:u w:val="single"/>
                <w:lang w:val="en-US" w:eastAsia="zh-CN"/>
              </w:rPr>
              <w:t>7</w:t>
            </w:r>
            <w:r>
              <w:rPr>
                <w:rFonts w:hint="eastAsia"/>
                <w:color w:val="auto"/>
                <w:sz w:val="22"/>
                <w:szCs w:val="22"/>
                <w:highlight w:val="none"/>
                <w:u w:val="single"/>
                <w:lang w:eastAsia="zh-CN"/>
              </w:rPr>
              <w:t>月</w:t>
            </w:r>
            <w:r>
              <w:rPr>
                <w:rFonts w:hint="eastAsia"/>
                <w:color w:val="auto"/>
                <w:sz w:val="22"/>
                <w:szCs w:val="22"/>
                <w:highlight w:val="none"/>
                <w:u w:val="single"/>
                <w:lang w:val="en-US" w:eastAsia="zh-CN"/>
              </w:rPr>
              <w:t>1</w:t>
            </w:r>
            <w:r>
              <w:rPr>
                <w:rFonts w:hint="eastAsia"/>
                <w:color w:val="auto"/>
                <w:sz w:val="22"/>
                <w:szCs w:val="22"/>
                <w:highlight w:val="none"/>
                <w:u w:val="single"/>
                <w:lang w:eastAsia="zh-CN"/>
              </w:rPr>
              <w:t>日起至投标截止日止无行贿犯罪记录</w:t>
            </w:r>
            <w:r>
              <w:rPr>
                <w:rFonts w:hint="eastAsia"/>
                <w:color w:val="auto"/>
                <w:sz w:val="22"/>
                <w:szCs w:val="22"/>
                <w:highlight w:val="none"/>
                <w:u w:val="single"/>
                <w:shd w:val="clear" w:color="auto" w:fill="FCFCFC"/>
              </w:rPr>
              <w:t>（投标人提供承诺书）</w:t>
            </w:r>
            <w:r>
              <w:rPr>
                <w:rFonts w:hint="eastAsia"/>
                <w:color w:val="auto"/>
                <w:sz w:val="22"/>
                <w:szCs w:val="22"/>
                <w:highlight w:val="none"/>
                <w:shd w:val="clear" w:color="auto" w:fill="FCFCFC"/>
              </w:rPr>
              <w:t>。</w:t>
            </w:r>
          </w:p>
          <w:p w14:paraId="41D3E32A">
            <w:pPr>
              <w:pStyle w:val="20"/>
              <w:keepNext w:val="0"/>
              <w:keepLines w:val="0"/>
              <w:pageBreakBefore w:val="0"/>
              <w:widowControl/>
              <w:numPr>
                <w:ilvl w:val="0"/>
                <w:numId w:val="0"/>
              </w:numPr>
              <w:suppressLineNumbers w:val="0"/>
              <w:shd w:val="clear" w:color="auto" w:fill="FFFFFF"/>
              <w:kinsoku/>
              <w:wordWrap/>
              <w:overflowPunct/>
              <w:topLinePunct w:val="0"/>
              <w:bidi w:val="0"/>
              <w:adjustRightInd/>
              <w:snapToGrid w:val="0"/>
              <w:spacing w:before="0" w:beforeAutospacing="0" w:after="0" w:afterAutospacing="0" w:line="360" w:lineRule="auto"/>
              <w:ind w:left="0" w:right="0" w:rightChars="0"/>
              <w:jc w:val="left"/>
              <w:textAlignment w:val="auto"/>
              <w:rPr>
                <w:rFonts w:hint="eastAsia" w:ascii="宋体" w:hAnsi="宋体" w:eastAsia="宋体"/>
                <w:color w:val="auto"/>
                <w:sz w:val="22"/>
                <w:szCs w:val="22"/>
                <w:highlight w:val="none"/>
                <w:u w:val="single"/>
                <w:lang w:val="en-US" w:eastAsia="zh-CN"/>
              </w:rPr>
            </w:pPr>
            <w:r>
              <w:rPr>
                <w:rFonts w:hint="eastAsia" w:ascii="宋体" w:hAnsi="宋体" w:eastAsia="宋体"/>
                <w:color w:val="auto"/>
                <w:sz w:val="22"/>
                <w:szCs w:val="22"/>
                <w:highlight w:val="none"/>
                <w:lang w:eastAsia="zh-CN"/>
              </w:rPr>
              <w:t>2、</w:t>
            </w:r>
            <w:r>
              <w:rPr>
                <w:rFonts w:hint="eastAsia" w:ascii="宋体" w:hAnsi="宋体" w:eastAsia="宋体"/>
                <w:color w:val="auto"/>
                <w:sz w:val="22"/>
                <w:szCs w:val="22"/>
                <w:highlight w:val="none"/>
                <w:u w:val="single"/>
                <w:lang w:val="en-US" w:eastAsia="zh-CN"/>
              </w:rPr>
              <w:t>投标人未被列入建筑市场严重失信名单（以全国建筑市场监管公共服务平台黑名单记录、失信联合惩戒记录和浙江省建筑市场监管公共服务系统严重失信名单的信息为准）；</w:t>
            </w:r>
          </w:p>
          <w:p w14:paraId="61FB1BAC">
            <w:pPr>
              <w:pStyle w:val="20"/>
              <w:keepNext w:val="0"/>
              <w:keepLines w:val="0"/>
              <w:pageBreakBefore w:val="0"/>
              <w:widowControl/>
              <w:numPr>
                <w:ilvl w:val="0"/>
                <w:numId w:val="0"/>
              </w:numPr>
              <w:suppressLineNumbers w:val="0"/>
              <w:shd w:val="clear" w:color="auto" w:fill="FFFFFF"/>
              <w:kinsoku/>
              <w:wordWrap/>
              <w:overflowPunct/>
              <w:topLinePunct w:val="0"/>
              <w:bidi w:val="0"/>
              <w:adjustRightInd/>
              <w:snapToGrid w:val="0"/>
              <w:spacing w:before="0" w:beforeAutospacing="0" w:after="0" w:afterAutospacing="0" w:line="360" w:lineRule="auto"/>
              <w:ind w:left="0" w:right="0" w:rightChars="0"/>
              <w:jc w:val="left"/>
              <w:textAlignment w:val="auto"/>
              <w:rPr>
                <w:rFonts w:hint="eastAsia"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3、投标人投标资格业绩：</w:t>
            </w:r>
            <w:r>
              <w:rPr>
                <w:rFonts w:hint="eastAsia" w:ascii="宋体" w:hAnsi="宋体" w:eastAsia="宋体"/>
                <w:color w:val="auto"/>
                <w:sz w:val="22"/>
                <w:szCs w:val="22"/>
                <w:highlight w:val="none"/>
                <w:u w:val="single"/>
                <w:lang w:val="en-US" w:eastAsia="zh-CN"/>
              </w:rPr>
              <w:t>自2021年7月1日以来，完成过单个合同金额80万元及以上的建筑工程的无线室分项目。</w:t>
            </w:r>
          </w:p>
          <w:p w14:paraId="08625CED">
            <w:pPr>
              <w:pStyle w:val="20"/>
              <w:keepNext w:val="0"/>
              <w:keepLines w:val="0"/>
              <w:pageBreakBefore w:val="0"/>
              <w:widowControl/>
              <w:numPr>
                <w:ilvl w:val="0"/>
                <w:numId w:val="0"/>
              </w:numPr>
              <w:suppressLineNumbers w:val="0"/>
              <w:shd w:val="clear" w:color="auto" w:fill="FFFFFF"/>
              <w:kinsoku/>
              <w:wordWrap/>
              <w:overflowPunct/>
              <w:topLinePunct w:val="0"/>
              <w:bidi w:val="0"/>
              <w:adjustRightInd/>
              <w:snapToGrid w:val="0"/>
              <w:spacing w:before="0" w:beforeAutospacing="0" w:after="0" w:afterAutospacing="0" w:line="360" w:lineRule="auto"/>
              <w:ind w:left="0" w:right="0" w:rightChars="0"/>
              <w:jc w:val="left"/>
              <w:textAlignment w:val="auto"/>
              <w:rPr>
                <w:rFonts w:hint="eastAsia"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备注：</w:t>
            </w:r>
          </w:p>
          <w:p w14:paraId="123EE001">
            <w:pPr>
              <w:pStyle w:val="20"/>
              <w:keepNext w:val="0"/>
              <w:keepLines w:val="0"/>
              <w:pageBreakBefore w:val="0"/>
              <w:widowControl/>
              <w:numPr>
                <w:ilvl w:val="0"/>
                <w:numId w:val="0"/>
              </w:numPr>
              <w:suppressLineNumbers w:val="0"/>
              <w:shd w:val="clear" w:color="auto" w:fill="FFFFFF"/>
              <w:kinsoku/>
              <w:wordWrap/>
              <w:overflowPunct/>
              <w:topLinePunct w:val="0"/>
              <w:bidi w:val="0"/>
              <w:adjustRightInd/>
              <w:snapToGrid w:val="0"/>
              <w:spacing w:before="0" w:beforeAutospacing="0" w:after="0" w:afterAutospacing="0" w:line="360" w:lineRule="auto"/>
              <w:ind w:left="0" w:right="0" w:rightChars="0" w:firstLine="440" w:firstLineChars="200"/>
              <w:jc w:val="left"/>
              <w:textAlignment w:val="auto"/>
              <w:rPr>
                <w:rFonts w:hint="eastAsia"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①业绩证明资料须同时提供：提供业绩合同、通信发展办（或通建办）出具的《准予接入公网通知书》；</w:t>
            </w:r>
          </w:p>
          <w:p w14:paraId="35113158">
            <w:pPr>
              <w:pStyle w:val="20"/>
              <w:keepNext w:val="0"/>
              <w:keepLines w:val="0"/>
              <w:pageBreakBefore w:val="0"/>
              <w:widowControl/>
              <w:numPr>
                <w:ilvl w:val="0"/>
                <w:numId w:val="0"/>
              </w:numPr>
              <w:suppressLineNumbers w:val="0"/>
              <w:shd w:val="clear" w:color="auto" w:fill="FFFFFF"/>
              <w:kinsoku/>
              <w:wordWrap/>
              <w:overflowPunct/>
              <w:topLinePunct w:val="0"/>
              <w:bidi w:val="0"/>
              <w:adjustRightInd/>
              <w:snapToGrid w:val="0"/>
              <w:spacing w:before="0" w:beforeAutospacing="0" w:after="0" w:afterAutospacing="0" w:line="360" w:lineRule="auto"/>
              <w:ind w:left="0" w:right="0" w:rightChars="0" w:firstLine="440" w:firstLineChars="200"/>
              <w:jc w:val="left"/>
              <w:textAlignment w:val="auto"/>
              <w:rPr>
                <w:rFonts w:hint="eastAsia"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②业绩时间以《准予接入公网通知书》上的时间为准，金额以合同为准；</w:t>
            </w:r>
          </w:p>
          <w:p w14:paraId="4B32AD36">
            <w:pPr>
              <w:pStyle w:val="20"/>
              <w:keepNext w:val="0"/>
              <w:keepLines w:val="0"/>
              <w:pageBreakBefore w:val="0"/>
              <w:widowControl/>
              <w:numPr>
                <w:ilvl w:val="0"/>
                <w:numId w:val="0"/>
              </w:numPr>
              <w:suppressLineNumbers w:val="0"/>
              <w:shd w:val="clear" w:color="auto" w:fill="FFFFFF"/>
              <w:kinsoku/>
              <w:wordWrap/>
              <w:overflowPunct/>
              <w:topLinePunct w:val="0"/>
              <w:bidi w:val="0"/>
              <w:adjustRightInd/>
              <w:snapToGrid w:val="0"/>
              <w:spacing w:before="0" w:beforeAutospacing="0" w:after="0" w:afterAutospacing="0" w:line="360" w:lineRule="auto"/>
              <w:ind w:left="0" w:right="0" w:rightChars="0" w:firstLine="440" w:firstLineChars="200"/>
              <w:jc w:val="left"/>
              <w:textAlignment w:val="auto"/>
              <w:rPr>
                <w:rFonts w:hint="eastAsia"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③项目其余特征内容在上述证明材料中未明确的（如综合类项目合同中无法体现无线室分的合同金额的），提供建设（代建）单位的证明材料，需加盖提供单位公章。</w:t>
            </w:r>
          </w:p>
          <w:p w14:paraId="1CE1A21D">
            <w:pPr>
              <w:pStyle w:val="20"/>
              <w:keepNext w:val="0"/>
              <w:keepLines w:val="0"/>
              <w:pageBreakBefore w:val="0"/>
              <w:widowControl/>
              <w:numPr>
                <w:ilvl w:val="0"/>
                <w:numId w:val="0"/>
              </w:numPr>
              <w:suppressLineNumbers w:val="0"/>
              <w:shd w:val="clear" w:color="auto" w:fill="FFFFFF"/>
              <w:kinsoku/>
              <w:wordWrap/>
              <w:overflowPunct/>
              <w:topLinePunct w:val="0"/>
              <w:bidi w:val="0"/>
              <w:adjustRightInd/>
              <w:snapToGrid w:val="0"/>
              <w:spacing w:before="0" w:beforeAutospacing="0" w:after="0" w:afterAutospacing="0" w:line="360" w:lineRule="auto"/>
              <w:ind w:left="0" w:right="0" w:rightChars="0" w:firstLine="440" w:firstLineChars="200"/>
              <w:jc w:val="left"/>
              <w:textAlignment w:val="auto"/>
              <w:rPr>
                <w:rFonts w:hint="default"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注：本项目中的“无线室分”是指：室内分布天线系统，是室内覆盖系统的重要组成部分，通过在建筑物内各个区域布放馈线及安装天线(或泄漏电缆)等措施，使信号均匀地分布在各区域，实现用户在任何时间、任何地方的移动通信。</w:t>
            </w:r>
          </w:p>
          <w:p w14:paraId="680A8F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lang w:val="en-US" w:eastAsia="zh-CN"/>
              </w:rPr>
              <w:t>4、</w:t>
            </w:r>
            <w:r>
              <w:rPr>
                <w:rFonts w:hint="eastAsia"/>
                <w:color w:val="auto"/>
                <w:sz w:val="22"/>
                <w:szCs w:val="22"/>
                <w:highlight w:val="none"/>
              </w:rPr>
              <w:t>本次招标</w:t>
            </w:r>
            <w:r>
              <w:rPr>
                <w:rFonts w:hint="eastAsia"/>
                <w:color w:val="auto"/>
                <w:sz w:val="22"/>
                <w:szCs w:val="22"/>
                <w:highlight w:val="none"/>
                <w:u w:val="single"/>
                <w:lang w:val="en-US" w:eastAsia="zh-CN"/>
              </w:rPr>
              <w:t>不</w:t>
            </w:r>
            <w:r>
              <w:rPr>
                <w:rFonts w:hint="eastAsia"/>
                <w:color w:val="auto"/>
                <w:sz w:val="22"/>
                <w:szCs w:val="22"/>
                <w:highlight w:val="none"/>
              </w:rPr>
              <w:t>联合体投标。</w:t>
            </w:r>
          </w:p>
        </w:tc>
      </w:tr>
      <w:tr w14:paraId="0E4CF782">
        <w:tblPrEx>
          <w:tblCellMar>
            <w:top w:w="0" w:type="dxa"/>
            <w:left w:w="108" w:type="dxa"/>
            <w:bottom w:w="0" w:type="dxa"/>
            <w:right w:w="108" w:type="dxa"/>
          </w:tblCellMar>
        </w:tblPrEx>
        <w:trPr>
          <w:trHeight w:val="466" w:hRule="atLeast"/>
        </w:trPr>
        <w:tc>
          <w:tcPr>
            <w:tcW w:w="809" w:type="dxa"/>
            <w:tcBorders>
              <w:top w:val="single" w:color="auto" w:sz="6" w:space="0"/>
              <w:left w:val="single" w:color="auto" w:sz="6" w:space="0"/>
              <w:bottom w:val="single" w:color="auto" w:sz="6" w:space="0"/>
              <w:right w:val="single" w:color="auto" w:sz="6" w:space="0"/>
            </w:tcBorders>
            <w:vAlign w:val="center"/>
          </w:tcPr>
          <w:p w14:paraId="27C2FF63">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jc w:val="center"/>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4</w:t>
            </w:r>
          </w:p>
        </w:tc>
        <w:tc>
          <w:tcPr>
            <w:tcW w:w="8520" w:type="dxa"/>
            <w:gridSpan w:val="2"/>
            <w:tcBorders>
              <w:top w:val="single" w:color="auto" w:sz="6" w:space="0"/>
              <w:left w:val="single" w:color="auto" w:sz="6" w:space="0"/>
              <w:bottom w:val="single" w:color="auto" w:sz="6" w:space="0"/>
              <w:right w:val="single" w:color="auto" w:sz="6" w:space="0"/>
            </w:tcBorders>
            <w:vAlign w:val="center"/>
          </w:tcPr>
          <w:p w14:paraId="684DF20E">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资格审查方式：采用资格后审</w:t>
            </w:r>
          </w:p>
        </w:tc>
      </w:tr>
      <w:tr w14:paraId="0E3BB7FC">
        <w:tblPrEx>
          <w:tblCellMar>
            <w:top w:w="0" w:type="dxa"/>
            <w:left w:w="108" w:type="dxa"/>
            <w:bottom w:w="0" w:type="dxa"/>
            <w:right w:w="108" w:type="dxa"/>
          </w:tblCellMar>
        </w:tblPrEx>
        <w:trPr>
          <w:trHeight w:val="494" w:hRule="atLeast"/>
        </w:trPr>
        <w:tc>
          <w:tcPr>
            <w:tcW w:w="809" w:type="dxa"/>
            <w:tcBorders>
              <w:top w:val="single" w:color="auto" w:sz="6" w:space="0"/>
              <w:left w:val="single" w:color="auto" w:sz="6" w:space="0"/>
              <w:bottom w:val="single" w:color="auto" w:sz="6" w:space="0"/>
              <w:right w:val="single" w:color="auto" w:sz="6" w:space="0"/>
            </w:tcBorders>
            <w:vAlign w:val="center"/>
          </w:tcPr>
          <w:p w14:paraId="78601357">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jc w:val="center"/>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5</w:t>
            </w:r>
          </w:p>
        </w:tc>
        <w:tc>
          <w:tcPr>
            <w:tcW w:w="8520" w:type="dxa"/>
            <w:gridSpan w:val="2"/>
            <w:tcBorders>
              <w:top w:val="single" w:color="auto" w:sz="6" w:space="0"/>
              <w:left w:val="single" w:color="auto" w:sz="6" w:space="0"/>
              <w:bottom w:val="single" w:color="auto" w:sz="6" w:space="0"/>
              <w:right w:val="single" w:color="auto" w:sz="6" w:space="0"/>
            </w:tcBorders>
            <w:vAlign w:val="center"/>
          </w:tcPr>
          <w:p w14:paraId="5835338C">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评标方法及标准：</w:t>
            </w:r>
            <w:r>
              <w:rPr>
                <w:rFonts w:hint="eastAsia" w:ascii="宋体" w:hAnsi="宋体" w:cs="宋体"/>
                <w:color w:val="auto"/>
                <w:sz w:val="22"/>
                <w:szCs w:val="22"/>
                <w:highlight w:val="none"/>
                <w:lang w:eastAsia="zh-CN"/>
              </w:rPr>
              <w:t>综合评估法</w:t>
            </w:r>
            <w:r>
              <w:rPr>
                <w:rFonts w:hint="eastAsia" w:ascii="宋体" w:hAnsi="宋体" w:eastAsia="宋体" w:cs="宋体"/>
                <w:color w:val="auto"/>
                <w:sz w:val="22"/>
                <w:szCs w:val="22"/>
                <w:highlight w:val="none"/>
                <w:lang w:eastAsia="zh-CN"/>
              </w:rPr>
              <w:t>，最高分中标。</w:t>
            </w:r>
          </w:p>
          <w:p w14:paraId="004EC515">
            <w:pPr>
              <w:pStyle w:val="22"/>
              <w:keepNext w:val="0"/>
              <w:keepLines w:val="0"/>
              <w:pageBreakBefore w:val="0"/>
              <w:suppressLineNumbers w:val="0"/>
              <w:kinsoku/>
              <w:wordWrap/>
              <w:overflowPunct/>
              <w:topLinePunct w:val="0"/>
              <w:bidi w:val="0"/>
              <w:adjustRightInd/>
              <w:snapToGrid w:val="0"/>
              <w:spacing w:before="0" w:beforeAutospacing="0" w:after="0" w:afterAutospacing="0" w:line="360" w:lineRule="auto"/>
              <w:ind w:left="0" w:right="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评标入围办法：全部入围</w:t>
            </w:r>
          </w:p>
        </w:tc>
      </w:tr>
      <w:tr w14:paraId="2AC2B0A7">
        <w:tblPrEx>
          <w:tblCellMar>
            <w:top w:w="0" w:type="dxa"/>
            <w:left w:w="108" w:type="dxa"/>
            <w:bottom w:w="0" w:type="dxa"/>
            <w:right w:w="108" w:type="dxa"/>
          </w:tblCellMar>
        </w:tblPrEx>
        <w:trPr>
          <w:trHeight w:val="592" w:hRule="atLeast"/>
        </w:trPr>
        <w:tc>
          <w:tcPr>
            <w:tcW w:w="809" w:type="dxa"/>
            <w:tcBorders>
              <w:top w:val="single" w:color="auto" w:sz="6" w:space="0"/>
              <w:left w:val="single" w:color="auto" w:sz="6" w:space="0"/>
              <w:bottom w:val="single" w:color="auto" w:sz="6" w:space="0"/>
              <w:right w:val="single" w:color="auto" w:sz="6" w:space="0"/>
            </w:tcBorders>
            <w:vAlign w:val="center"/>
          </w:tcPr>
          <w:p w14:paraId="492E8F6B">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jc w:val="center"/>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6</w:t>
            </w:r>
          </w:p>
        </w:tc>
        <w:tc>
          <w:tcPr>
            <w:tcW w:w="8520" w:type="dxa"/>
            <w:gridSpan w:val="2"/>
            <w:tcBorders>
              <w:top w:val="single" w:color="auto" w:sz="6" w:space="0"/>
              <w:left w:val="single" w:color="auto" w:sz="6" w:space="0"/>
              <w:bottom w:val="single" w:color="auto" w:sz="6" w:space="0"/>
              <w:right w:val="single" w:color="auto" w:sz="6" w:space="0"/>
            </w:tcBorders>
            <w:vAlign w:val="center"/>
          </w:tcPr>
          <w:p w14:paraId="53A06610">
            <w:pPr>
              <w:keepNext w:val="0"/>
              <w:keepLines w:val="0"/>
              <w:pageBreakBefore w:val="0"/>
              <w:suppressLineNumbers w:val="0"/>
              <w:kinsoku/>
              <w:wordWrap/>
              <w:overflowPunct/>
              <w:topLinePunct w:val="0"/>
              <w:bidi w:val="0"/>
              <w:adjustRightInd/>
              <w:snapToGrid w:val="0"/>
              <w:spacing w:before="0" w:beforeAutospacing="0" w:after="0" w:afterAutospacing="0" w:line="360" w:lineRule="auto"/>
              <w:ind w:left="0" w:right="0"/>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投标有效期：60日历天，自投标截止之日起</w:t>
            </w:r>
          </w:p>
        </w:tc>
      </w:tr>
      <w:tr w14:paraId="3A558893">
        <w:tblPrEx>
          <w:tblCellMar>
            <w:top w:w="0" w:type="dxa"/>
            <w:left w:w="108" w:type="dxa"/>
            <w:bottom w:w="0" w:type="dxa"/>
            <w:right w:w="108" w:type="dxa"/>
          </w:tblCellMar>
        </w:tblPrEx>
        <w:trPr>
          <w:trHeight w:val="571" w:hRule="atLeast"/>
        </w:trPr>
        <w:tc>
          <w:tcPr>
            <w:tcW w:w="809" w:type="dxa"/>
            <w:tcBorders>
              <w:top w:val="single" w:color="auto" w:sz="6" w:space="0"/>
              <w:left w:val="single" w:color="auto" w:sz="6" w:space="0"/>
              <w:bottom w:val="single" w:color="auto" w:sz="6" w:space="0"/>
              <w:right w:val="single" w:color="auto" w:sz="6" w:space="0"/>
            </w:tcBorders>
            <w:vAlign w:val="center"/>
          </w:tcPr>
          <w:p w14:paraId="458EA244">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jc w:val="center"/>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7</w:t>
            </w:r>
          </w:p>
        </w:tc>
        <w:tc>
          <w:tcPr>
            <w:tcW w:w="8520" w:type="dxa"/>
            <w:gridSpan w:val="2"/>
            <w:tcBorders>
              <w:top w:val="single" w:color="auto" w:sz="6" w:space="0"/>
              <w:left w:val="single" w:color="auto" w:sz="6" w:space="0"/>
              <w:bottom w:val="single" w:color="auto" w:sz="6" w:space="0"/>
              <w:right w:val="single" w:color="auto" w:sz="6" w:space="0"/>
            </w:tcBorders>
            <w:vAlign w:val="center"/>
          </w:tcPr>
          <w:p w14:paraId="7B20A470">
            <w:pPr>
              <w:keepNext w:val="0"/>
              <w:keepLines w:val="0"/>
              <w:pageBreakBefore w:val="0"/>
              <w:widowControl w:val="0"/>
              <w:suppressLineNumbers w:val="0"/>
              <w:kinsoku/>
              <w:wordWrap/>
              <w:overflowPunct/>
              <w:topLinePunct w:val="0"/>
              <w:bidi w:val="0"/>
              <w:adjustRightInd/>
              <w:snapToGrid w:val="0"/>
              <w:spacing w:before="0" w:beforeAutospacing="0" w:after="0" w:afterAutospacing="0" w:line="360" w:lineRule="auto"/>
              <w:ind w:left="0" w:right="0"/>
              <w:textAlignment w:val="auto"/>
              <w:rPr>
                <w:rFonts w:hint="eastAsia" w:ascii="宋体" w:hAnsi="宋体" w:eastAsia="宋体" w:cs="宋体"/>
                <w:b/>
                <w:color w:val="auto"/>
                <w:sz w:val="22"/>
                <w:szCs w:val="22"/>
                <w:highlight w:val="none"/>
                <w:lang w:eastAsia="zh-CN"/>
              </w:rPr>
            </w:pPr>
            <w:r>
              <w:rPr>
                <w:rFonts w:hint="eastAsia" w:ascii="宋体" w:hAnsi="宋体" w:eastAsia="宋体" w:cs="宋体"/>
                <w:bCs/>
                <w:color w:val="auto"/>
                <w:sz w:val="22"/>
                <w:szCs w:val="22"/>
                <w:highlight w:val="none"/>
              </w:rPr>
              <w:t>投标保证金</w:t>
            </w:r>
            <w:r>
              <w:rPr>
                <w:rFonts w:hint="eastAsia" w:ascii="宋体" w:hAnsi="宋体" w:cs="宋体"/>
                <w:bCs/>
                <w:color w:val="auto"/>
                <w:sz w:val="22"/>
                <w:szCs w:val="22"/>
                <w:highlight w:val="none"/>
                <w:lang w:eastAsia="zh-CN"/>
              </w:rPr>
              <w:t>：无</w:t>
            </w:r>
          </w:p>
        </w:tc>
      </w:tr>
      <w:tr w14:paraId="751EECD4">
        <w:tblPrEx>
          <w:tblCellMar>
            <w:top w:w="0" w:type="dxa"/>
            <w:left w:w="108" w:type="dxa"/>
            <w:bottom w:w="0" w:type="dxa"/>
            <w:right w:w="108" w:type="dxa"/>
          </w:tblCellMar>
        </w:tblPrEx>
        <w:trPr>
          <w:trHeight w:val="822" w:hRule="atLeast"/>
        </w:trPr>
        <w:tc>
          <w:tcPr>
            <w:tcW w:w="809" w:type="dxa"/>
            <w:tcBorders>
              <w:top w:val="single" w:color="auto" w:sz="6" w:space="0"/>
              <w:left w:val="single" w:color="auto" w:sz="6" w:space="0"/>
              <w:bottom w:val="single" w:color="auto" w:sz="6" w:space="0"/>
              <w:right w:val="single" w:color="auto" w:sz="6" w:space="0"/>
            </w:tcBorders>
            <w:vAlign w:val="center"/>
          </w:tcPr>
          <w:p w14:paraId="246F06B0">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jc w:val="center"/>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8</w:t>
            </w:r>
          </w:p>
        </w:tc>
        <w:tc>
          <w:tcPr>
            <w:tcW w:w="8520" w:type="dxa"/>
            <w:gridSpan w:val="2"/>
            <w:tcBorders>
              <w:top w:val="single" w:color="auto" w:sz="6" w:space="0"/>
              <w:left w:val="single" w:color="auto" w:sz="6" w:space="0"/>
              <w:bottom w:val="single" w:color="auto" w:sz="6" w:space="0"/>
              <w:right w:val="single" w:color="auto" w:sz="6" w:space="0"/>
            </w:tcBorders>
            <w:vAlign w:val="center"/>
          </w:tcPr>
          <w:p w14:paraId="3F6C6062">
            <w:pPr>
              <w:keepNext w:val="0"/>
              <w:keepLines w:val="0"/>
              <w:pageBreakBefore w:val="0"/>
              <w:suppressLineNumbers w:val="0"/>
              <w:kinsoku/>
              <w:wordWrap/>
              <w:overflowPunct/>
              <w:topLinePunct w:val="0"/>
              <w:bidi w:val="0"/>
              <w:adjustRightInd/>
              <w:snapToGrid w:val="0"/>
              <w:spacing w:before="0" w:beforeAutospacing="0" w:after="0" w:afterAutospacing="0" w:line="360" w:lineRule="auto"/>
              <w:ind w:left="0" w:right="0"/>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zh-CN"/>
              </w:rPr>
              <w:t>提疑时间：</w:t>
            </w:r>
            <w:r>
              <w:rPr>
                <w:rFonts w:hint="eastAsia" w:ascii="宋体" w:hAnsi="宋体" w:cs="宋体"/>
                <w:color w:val="auto"/>
                <w:sz w:val="22"/>
                <w:szCs w:val="22"/>
                <w:highlight w:val="none"/>
                <w:lang w:val="en-US" w:eastAsia="zh-CN"/>
              </w:rPr>
              <w:t>2026年 月  日17:00前</w:t>
            </w:r>
          </w:p>
          <w:p w14:paraId="791649AC">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zh-CN"/>
              </w:rPr>
              <w:t>提疑函递交</w:t>
            </w:r>
            <w:r>
              <w:rPr>
                <w:rFonts w:hint="eastAsia" w:ascii="宋体" w:hAnsi="宋体" w:cs="宋体"/>
                <w:color w:val="auto"/>
                <w:sz w:val="22"/>
                <w:szCs w:val="22"/>
                <w:highlight w:val="none"/>
                <w:lang w:eastAsia="zh-CN"/>
              </w:rPr>
              <w:t>邮箱：</w:t>
            </w:r>
            <w:r>
              <w:rPr>
                <w:rFonts w:hint="eastAsia" w:ascii="宋体" w:hAnsi="宋体" w:cs="宋体"/>
                <w:color w:val="auto"/>
                <w:sz w:val="22"/>
                <w:szCs w:val="22"/>
                <w:highlight w:val="none"/>
                <w:u w:val="single"/>
                <w:lang w:val="en-US" w:eastAsia="zh-CN"/>
              </w:rPr>
              <w:t>3937356533@qq.com</w:t>
            </w:r>
          </w:p>
        </w:tc>
      </w:tr>
      <w:tr w14:paraId="68EDBC5C">
        <w:tblPrEx>
          <w:tblCellMar>
            <w:top w:w="0" w:type="dxa"/>
            <w:left w:w="108" w:type="dxa"/>
            <w:bottom w:w="0" w:type="dxa"/>
            <w:right w:w="108" w:type="dxa"/>
          </w:tblCellMar>
        </w:tblPrEx>
        <w:trPr>
          <w:trHeight w:val="615" w:hRule="atLeast"/>
        </w:trPr>
        <w:tc>
          <w:tcPr>
            <w:tcW w:w="809" w:type="dxa"/>
            <w:tcBorders>
              <w:top w:val="single" w:color="auto" w:sz="6" w:space="0"/>
              <w:left w:val="single" w:color="auto" w:sz="6" w:space="0"/>
              <w:bottom w:val="single" w:color="auto" w:sz="6" w:space="0"/>
              <w:right w:val="single" w:color="auto" w:sz="6" w:space="0"/>
            </w:tcBorders>
            <w:vAlign w:val="center"/>
          </w:tcPr>
          <w:p w14:paraId="3720CC42">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jc w:val="center"/>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9</w:t>
            </w:r>
          </w:p>
        </w:tc>
        <w:tc>
          <w:tcPr>
            <w:tcW w:w="8520" w:type="dxa"/>
            <w:gridSpan w:val="2"/>
            <w:tcBorders>
              <w:top w:val="single" w:color="auto" w:sz="6" w:space="0"/>
              <w:left w:val="single" w:color="auto" w:sz="6" w:space="0"/>
              <w:bottom w:val="single" w:color="auto" w:sz="6" w:space="0"/>
              <w:right w:val="single" w:color="auto" w:sz="6" w:space="0"/>
            </w:tcBorders>
            <w:vAlign w:val="center"/>
          </w:tcPr>
          <w:p w14:paraId="16959A7F">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val="zh-CN"/>
              </w:rPr>
              <w:t>投标文件份数：</w:t>
            </w:r>
            <w:r>
              <w:rPr>
                <w:rFonts w:hint="eastAsia" w:ascii="宋体" w:hAnsi="宋体" w:eastAsia="宋体" w:cs="宋体"/>
                <w:color w:val="auto"/>
                <w:sz w:val="22"/>
                <w:szCs w:val="22"/>
                <w:highlight w:val="none"/>
                <w:lang w:eastAsia="zh-CN"/>
              </w:rPr>
              <w:t>资格审查正本1份，副本4份；</w:t>
            </w:r>
          </w:p>
          <w:p w14:paraId="4D27D341">
            <w:pPr>
              <w:pStyle w:val="37"/>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textAlignment w:val="auto"/>
              <w:rPr>
                <w:rFonts w:hint="default"/>
                <w:color w:val="auto"/>
                <w:sz w:val="22"/>
                <w:szCs w:val="22"/>
                <w:highlight w:val="none"/>
                <w:lang w:val="en-US" w:eastAsia="zh-CN"/>
              </w:rPr>
            </w:pPr>
            <w:r>
              <w:rPr>
                <w:rFonts w:hint="eastAsia" w:ascii="宋体" w:hAnsi="宋体" w:cs="宋体"/>
                <w:color w:val="auto"/>
                <w:sz w:val="22"/>
                <w:szCs w:val="22"/>
                <w:highlight w:val="none"/>
                <w:lang w:val="en-US" w:eastAsia="zh-CN"/>
              </w:rPr>
              <w:t xml:space="preserve">            </w:t>
            </w:r>
            <w:r>
              <w:rPr>
                <w:rFonts w:hint="eastAsia" w:ascii="宋体" w:hAnsi="宋体" w:cs="宋体"/>
                <w:color w:val="auto"/>
                <w:sz w:val="22"/>
                <w:szCs w:val="22"/>
                <w:highlight w:val="none"/>
                <w:lang w:eastAsia="zh-CN"/>
              </w:rPr>
              <w:t>技术</w:t>
            </w:r>
            <w:r>
              <w:rPr>
                <w:rFonts w:hint="eastAsia" w:ascii="宋体" w:hAnsi="宋体" w:eastAsia="宋体" w:cs="宋体"/>
                <w:color w:val="auto"/>
                <w:sz w:val="22"/>
                <w:szCs w:val="22"/>
                <w:highlight w:val="none"/>
                <w:lang w:eastAsia="zh-CN"/>
              </w:rPr>
              <w:t>标正本1份，副本4份</w:t>
            </w:r>
            <w:r>
              <w:rPr>
                <w:rFonts w:hint="eastAsia" w:ascii="宋体" w:hAnsi="宋体" w:cs="宋体"/>
                <w:color w:val="auto"/>
                <w:sz w:val="22"/>
                <w:szCs w:val="22"/>
                <w:highlight w:val="none"/>
                <w:lang w:eastAsia="zh-CN"/>
              </w:rPr>
              <w:t>；</w:t>
            </w:r>
          </w:p>
          <w:p w14:paraId="7805C008">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firstLine="1540" w:firstLineChars="700"/>
              <w:textAlignment w:val="auto"/>
              <w:rPr>
                <w:rFonts w:hint="eastAsia" w:ascii="宋体" w:hAnsi="宋体" w:eastAsia="宋体" w:cs="宋体"/>
                <w:color w:val="auto"/>
                <w:sz w:val="22"/>
                <w:szCs w:val="22"/>
                <w:highlight w:val="none"/>
                <w:lang w:val="zh-CN" w:eastAsia="zh-CN"/>
              </w:rPr>
            </w:pPr>
            <w:r>
              <w:rPr>
                <w:rFonts w:hint="eastAsia" w:ascii="宋体" w:hAnsi="宋体" w:eastAsia="宋体" w:cs="宋体"/>
                <w:color w:val="auto"/>
                <w:sz w:val="22"/>
                <w:szCs w:val="22"/>
                <w:highlight w:val="none"/>
                <w:lang w:eastAsia="zh-CN"/>
              </w:rPr>
              <w:t>商务标正本1份，副本4份。</w:t>
            </w:r>
          </w:p>
        </w:tc>
      </w:tr>
      <w:tr w14:paraId="42B8C255">
        <w:tblPrEx>
          <w:tblCellMar>
            <w:top w:w="0" w:type="dxa"/>
            <w:left w:w="108" w:type="dxa"/>
            <w:bottom w:w="0" w:type="dxa"/>
            <w:right w:w="108" w:type="dxa"/>
          </w:tblCellMar>
        </w:tblPrEx>
        <w:trPr>
          <w:trHeight w:val="567" w:hRule="atLeast"/>
        </w:trPr>
        <w:tc>
          <w:tcPr>
            <w:tcW w:w="809" w:type="dxa"/>
            <w:tcBorders>
              <w:top w:val="single" w:color="auto" w:sz="6" w:space="0"/>
              <w:left w:val="single" w:color="auto" w:sz="6" w:space="0"/>
              <w:bottom w:val="single" w:color="auto" w:sz="6" w:space="0"/>
              <w:right w:val="single" w:color="auto" w:sz="6" w:space="0"/>
            </w:tcBorders>
            <w:vAlign w:val="center"/>
          </w:tcPr>
          <w:p w14:paraId="2A348361">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10</w:t>
            </w:r>
          </w:p>
        </w:tc>
        <w:tc>
          <w:tcPr>
            <w:tcW w:w="8520" w:type="dxa"/>
            <w:gridSpan w:val="2"/>
            <w:tcBorders>
              <w:top w:val="single" w:color="auto" w:sz="6" w:space="0"/>
              <w:left w:val="single" w:color="auto" w:sz="6" w:space="0"/>
              <w:bottom w:val="single" w:color="auto" w:sz="6" w:space="0"/>
              <w:right w:val="single" w:color="auto" w:sz="6" w:space="0"/>
            </w:tcBorders>
            <w:vAlign w:val="center"/>
          </w:tcPr>
          <w:p w14:paraId="6C49AF98">
            <w:pPr>
              <w:keepNext w:val="0"/>
              <w:keepLines w:val="0"/>
              <w:pageBreakBefore w:val="0"/>
              <w:suppressLineNumbers w:val="0"/>
              <w:kinsoku/>
              <w:wordWrap/>
              <w:overflowPunct/>
              <w:topLinePunct w:val="0"/>
              <w:bidi w:val="0"/>
              <w:adjustRightInd/>
              <w:snapToGrid w:val="0"/>
              <w:spacing w:before="0" w:beforeAutospacing="0" w:after="0" w:afterAutospacing="0" w:line="360" w:lineRule="auto"/>
              <w:ind w:left="0" w:right="0"/>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投标文件递交时间：</w:t>
            </w:r>
            <w:r>
              <w:rPr>
                <w:rFonts w:hint="eastAsia" w:ascii="宋体" w:hAnsi="宋体" w:cs="宋体"/>
                <w:color w:val="auto"/>
                <w:sz w:val="22"/>
                <w:szCs w:val="22"/>
                <w:highlight w:val="none"/>
                <w:lang w:val="en-US" w:eastAsia="zh-CN"/>
              </w:rPr>
              <w:t>2026年  月  日09:00-09:30</w:t>
            </w:r>
          </w:p>
          <w:p w14:paraId="17033E67">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投标文件递交截止时间：</w:t>
            </w:r>
            <w:r>
              <w:rPr>
                <w:rFonts w:hint="eastAsia" w:ascii="宋体" w:hAnsi="宋体" w:cs="宋体"/>
                <w:color w:val="auto"/>
                <w:sz w:val="22"/>
                <w:szCs w:val="22"/>
                <w:highlight w:val="none"/>
                <w:lang w:val="en-US" w:eastAsia="zh-CN"/>
              </w:rPr>
              <w:t>2026年  月  日09：30</w:t>
            </w:r>
          </w:p>
        </w:tc>
      </w:tr>
      <w:tr w14:paraId="50F0F0B6">
        <w:tblPrEx>
          <w:tblCellMar>
            <w:top w:w="0" w:type="dxa"/>
            <w:left w:w="108" w:type="dxa"/>
            <w:bottom w:w="0" w:type="dxa"/>
            <w:right w:w="108" w:type="dxa"/>
          </w:tblCellMar>
        </w:tblPrEx>
        <w:trPr>
          <w:trHeight w:val="988" w:hRule="atLeast"/>
        </w:trPr>
        <w:tc>
          <w:tcPr>
            <w:tcW w:w="809" w:type="dxa"/>
            <w:tcBorders>
              <w:top w:val="single" w:color="auto" w:sz="6" w:space="0"/>
              <w:left w:val="single" w:color="auto" w:sz="6" w:space="0"/>
              <w:bottom w:val="single" w:color="auto" w:sz="6" w:space="0"/>
              <w:right w:val="single" w:color="auto" w:sz="6" w:space="0"/>
            </w:tcBorders>
            <w:vAlign w:val="center"/>
          </w:tcPr>
          <w:p w14:paraId="07DBD1A6">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11</w:t>
            </w:r>
          </w:p>
        </w:tc>
        <w:tc>
          <w:tcPr>
            <w:tcW w:w="8520" w:type="dxa"/>
            <w:gridSpan w:val="2"/>
            <w:tcBorders>
              <w:top w:val="single" w:color="auto" w:sz="6" w:space="0"/>
              <w:left w:val="single" w:color="auto" w:sz="6" w:space="0"/>
              <w:bottom w:val="single" w:color="auto" w:sz="6" w:space="0"/>
              <w:right w:val="single" w:color="auto" w:sz="6" w:space="0"/>
            </w:tcBorders>
            <w:vAlign w:val="center"/>
          </w:tcPr>
          <w:p w14:paraId="02A36ECB">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textAlignment w:val="auto"/>
              <w:rPr>
                <w:rFonts w:hint="eastAsia" w:ascii="宋体" w:hAnsi="宋体" w:eastAsia="宋体" w:cs="宋体"/>
                <w:color w:val="auto"/>
                <w:sz w:val="22"/>
                <w:szCs w:val="22"/>
                <w:highlight w:val="none"/>
                <w:lang w:val="zh-CN"/>
              </w:rPr>
            </w:pPr>
            <w:r>
              <w:rPr>
                <w:rFonts w:hint="eastAsia" w:ascii="宋体" w:hAnsi="宋体" w:cs="宋体"/>
                <w:color w:val="auto"/>
                <w:sz w:val="22"/>
                <w:szCs w:val="22"/>
                <w:highlight w:val="none"/>
                <w:lang w:val="zh-CN"/>
              </w:rPr>
              <w:t>开</w:t>
            </w:r>
            <w:r>
              <w:rPr>
                <w:rFonts w:hint="eastAsia" w:ascii="宋体" w:hAnsi="宋体" w:eastAsia="宋体" w:cs="宋体"/>
                <w:color w:val="auto"/>
                <w:sz w:val="22"/>
                <w:szCs w:val="22"/>
                <w:highlight w:val="none"/>
                <w:lang w:val="zh-CN"/>
              </w:rPr>
              <w:t>标会议时间：</w:t>
            </w:r>
            <w:r>
              <w:rPr>
                <w:rFonts w:hint="eastAsia" w:ascii="宋体" w:hAnsi="宋体" w:cs="宋体"/>
                <w:color w:val="auto"/>
                <w:sz w:val="22"/>
                <w:szCs w:val="22"/>
                <w:highlight w:val="none"/>
                <w:lang w:val="zh-CN"/>
              </w:rPr>
              <w:t>同投标截止时间</w:t>
            </w:r>
          </w:p>
          <w:p w14:paraId="2238EFF1">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投标文件提交地点</w:t>
            </w:r>
            <w:r>
              <w:rPr>
                <w:rFonts w:hint="eastAsia" w:ascii="宋体" w:hAnsi="宋体" w:eastAsia="宋体" w:cs="宋体"/>
                <w:color w:val="auto"/>
                <w:sz w:val="22"/>
                <w:szCs w:val="22"/>
                <w:highlight w:val="none"/>
                <w:lang w:val="zh-CN" w:eastAsia="zh-CN"/>
              </w:rPr>
              <w:t>：</w:t>
            </w:r>
            <w:r>
              <w:rPr>
                <w:rFonts w:hint="eastAsia" w:ascii="宋体" w:hAnsi="宋体" w:cs="宋体"/>
                <w:color w:val="auto"/>
                <w:sz w:val="22"/>
                <w:szCs w:val="22"/>
                <w:highlight w:val="none"/>
                <w:lang w:val="en-US" w:eastAsia="zh-CN"/>
              </w:rPr>
              <w:t>绍兴市第七人民医院5楼会议室</w:t>
            </w:r>
          </w:p>
        </w:tc>
      </w:tr>
      <w:tr w14:paraId="6CDCE8EC">
        <w:tblPrEx>
          <w:tblCellMar>
            <w:top w:w="0" w:type="dxa"/>
            <w:left w:w="108" w:type="dxa"/>
            <w:bottom w:w="0" w:type="dxa"/>
            <w:right w:w="108" w:type="dxa"/>
          </w:tblCellMar>
        </w:tblPrEx>
        <w:trPr>
          <w:trHeight w:val="398" w:hRule="atLeast"/>
        </w:trPr>
        <w:tc>
          <w:tcPr>
            <w:tcW w:w="809" w:type="dxa"/>
            <w:tcBorders>
              <w:top w:val="single" w:color="auto" w:sz="6" w:space="0"/>
              <w:left w:val="single" w:color="auto" w:sz="6" w:space="0"/>
              <w:bottom w:val="single" w:color="auto" w:sz="6" w:space="0"/>
              <w:right w:val="single" w:color="auto" w:sz="6" w:space="0"/>
            </w:tcBorders>
            <w:vAlign w:val="center"/>
          </w:tcPr>
          <w:p w14:paraId="707D9734">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12</w:t>
            </w:r>
          </w:p>
        </w:tc>
        <w:tc>
          <w:tcPr>
            <w:tcW w:w="8520" w:type="dxa"/>
            <w:gridSpan w:val="2"/>
            <w:tcBorders>
              <w:top w:val="single" w:color="auto" w:sz="6" w:space="0"/>
              <w:left w:val="single" w:color="auto" w:sz="6" w:space="0"/>
              <w:bottom w:val="single" w:color="auto" w:sz="6" w:space="0"/>
              <w:right w:val="single" w:color="auto" w:sz="6" w:space="0"/>
            </w:tcBorders>
            <w:vAlign w:val="center"/>
          </w:tcPr>
          <w:p w14:paraId="3D298640">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textAlignment w:val="auto"/>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履约担保金额：中标通知书发出15个工作日内中标人交纳中标价的2%作为履约保证金。</w:t>
            </w:r>
          </w:p>
          <w:p w14:paraId="4D28E8A6">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textAlignment w:val="auto"/>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履约担保形式：现金、支票、汇票、转账、银行保函、保险机构保证保险保单等。</w:t>
            </w:r>
          </w:p>
          <w:p w14:paraId="0603ED98">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textAlignment w:val="auto"/>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履约担保退还：在项目安装调试完成、递交完整的经济技术资料，并单项验收合格且无其他违约行为后予以退还（不计息）。</w:t>
            </w:r>
          </w:p>
          <w:p w14:paraId="49E7A3AF">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60" w:lineRule="auto"/>
              <w:ind w:left="0" w:right="0"/>
              <w:textAlignment w:val="auto"/>
              <w:rPr>
                <w:rFonts w:hint="eastAsia"/>
                <w:highlight w:val="none"/>
                <w:lang w:val="zh-CN"/>
              </w:rPr>
            </w:pPr>
            <w:r>
              <w:rPr>
                <w:rFonts w:hint="eastAsia" w:ascii="宋体" w:hAnsi="宋体" w:cs="宋体"/>
                <w:color w:val="auto"/>
                <w:sz w:val="22"/>
                <w:szCs w:val="22"/>
                <w:highlight w:val="none"/>
                <w:lang w:val="en-US" w:eastAsia="zh-CN"/>
              </w:rPr>
              <w:t>备注：中标人原因导致合同解除的，履约保证金不予退还。</w:t>
            </w:r>
          </w:p>
        </w:tc>
      </w:tr>
    </w:tbl>
    <w:p w14:paraId="6FDD06FE">
      <w:pPr>
        <w:spacing w:line="500" w:lineRule="exact"/>
        <w:jc w:val="center"/>
        <w:outlineLvl w:val="0"/>
        <w:rPr>
          <w:color w:val="auto"/>
          <w:highlight w:val="none"/>
        </w:rPr>
      </w:pPr>
      <w:r>
        <w:rPr>
          <w:rFonts w:ascii="宋体" w:hAnsi="宋体" w:cs="Times New Roman"/>
          <w:b/>
          <w:color w:val="auto"/>
          <w:kern w:val="44"/>
          <w:sz w:val="44"/>
          <w:szCs w:val="24"/>
          <w:highlight w:val="none"/>
          <w:lang w:val="zh-CN"/>
        </w:rPr>
        <w:br w:type="page"/>
      </w:r>
    </w:p>
    <w:p w14:paraId="223948CB">
      <w:pPr>
        <w:pStyle w:val="3"/>
        <w:bidi w:val="0"/>
        <w:rPr>
          <w:color w:val="auto"/>
          <w:sz w:val="32"/>
          <w:szCs w:val="32"/>
          <w:highlight w:val="none"/>
        </w:rPr>
      </w:pPr>
      <w:bookmarkStart w:id="9" w:name="_Toc22361"/>
      <w:bookmarkStart w:id="10" w:name="_Toc29389650"/>
      <w:r>
        <w:rPr>
          <w:rFonts w:hint="eastAsia"/>
          <w:color w:val="auto"/>
          <w:sz w:val="32"/>
          <w:szCs w:val="32"/>
          <w:highlight w:val="none"/>
        </w:rPr>
        <w:t>一、总  则</w:t>
      </w:r>
      <w:bookmarkEnd w:id="9"/>
      <w:bookmarkEnd w:id="10"/>
    </w:p>
    <w:p w14:paraId="725C9072">
      <w:pPr>
        <w:keepNext w:val="0"/>
        <w:keepLines w:val="0"/>
        <w:pageBreakBefore w:val="0"/>
        <w:widowControl w:val="0"/>
        <w:kinsoku/>
        <w:wordWrap/>
        <w:overflowPunct/>
        <w:topLinePunct w:val="0"/>
        <w:bidi w:val="0"/>
        <w:adjustRightInd/>
        <w:snapToGrid w:val="0"/>
        <w:spacing w:line="312" w:lineRule="auto"/>
        <w:ind w:firstLine="442" w:firstLineChars="200"/>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一</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工程说明</w:t>
      </w:r>
    </w:p>
    <w:p w14:paraId="06EBF6F0">
      <w:pPr>
        <w:keepNext w:val="0"/>
        <w:keepLines w:val="0"/>
        <w:pageBreakBefore w:val="0"/>
        <w:widowControl w:val="0"/>
        <w:kinsoku/>
        <w:wordWrap/>
        <w:overflowPunct/>
        <w:topLinePunct w:val="0"/>
        <w:bidi w:val="0"/>
        <w:adjustRightInd/>
        <w:snapToGrid w:val="0"/>
        <w:spacing w:line="312" w:lineRule="auto"/>
        <w:ind w:firstLine="440" w:firstLineChars="200"/>
        <w:textAlignment w:val="auto"/>
        <w:rPr>
          <w:rFonts w:hint="eastAsia"/>
          <w:sz w:val="22"/>
          <w:szCs w:val="24"/>
          <w:highlight w:val="none"/>
        </w:rPr>
      </w:pPr>
      <w:r>
        <w:rPr>
          <w:rFonts w:hint="eastAsia" w:ascii="宋体" w:hAnsi="宋体" w:eastAsia="宋体" w:cs="宋体"/>
          <w:color w:val="auto"/>
          <w:sz w:val="22"/>
          <w:szCs w:val="22"/>
          <w:highlight w:val="none"/>
        </w:rPr>
        <w:t>本工程说明详见前附表。</w:t>
      </w:r>
    </w:p>
    <w:p w14:paraId="72C45B5E">
      <w:pPr>
        <w:keepNext w:val="0"/>
        <w:keepLines w:val="0"/>
        <w:pageBreakBefore w:val="0"/>
        <w:widowControl w:val="0"/>
        <w:numPr>
          <w:ilvl w:val="0"/>
          <w:numId w:val="3"/>
        </w:numPr>
        <w:wordWrap/>
        <w:overflowPunct/>
        <w:topLinePunct w:val="0"/>
        <w:bidi w:val="0"/>
        <w:snapToGrid w:val="0"/>
        <w:spacing w:line="312" w:lineRule="auto"/>
        <w:ind w:firstLine="440" w:firstLineChars="200"/>
        <w:rPr>
          <w:rFonts w:hint="eastAsia" w:ascii="宋体" w:hAnsi="宋体" w:eastAsia="宋体" w:cs="宋体"/>
          <w:b/>
          <w:color w:val="auto"/>
          <w:sz w:val="22"/>
          <w:szCs w:val="22"/>
          <w:highlight w:val="none"/>
        </w:rPr>
      </w:pPr>
      <w:r>
        <w:rPr>
          <w:rFonts w:hint="eastAsia" w:ascii="宋体" w:hAnsi="宋体" w:cs="宋体"/>
          <w:b w:val="0"/>
          <w:bCs/>
          <w:color w:val="auto"/>
          <w:sz w:val="22"/>
          <w:szCs w:val="22"/>
          <w:highlight w:val="none"/>
          <w:lang w:val="en-US" w:eastAsia="zh-CN"/>
        </w:rPr>
        <w:t>招标范围及要求：</w:t>
      </w:r>
    </w:p>
    <w:p w14:paraId="20BD422D">
      <w:pPr>
        <w:keepNext w:val="0"/>
        <w:keepLines w:val="0"/>
        <w:pageBreakBefore w:val="0"/>
        <w:widowControl w:val="0"/>
        <w:numPr>
          <w:ilvl w:val="0"/>
          <w:numId w:val="0"/>
        </w:numPr>
        <w:wordWrap/>
        <w:overflowPunct/>
        <w:topLinePunct w:val="0"/>
        <w:bidi w:val="0"/>
        <w:snapToGrid w:val="0"/>
        <w:spacing w:line="312" w:lineRule="auto"/>
        <w:ind w:firstLine="440" w:firstLineChars="200"/>
        <w:rPr>
          <w:rFonts w:hint="eastAsia" w:ascii="宋体" w:hAnsi="宋体" w:eastAsia="宋体" w:cs="宋体"/>
          <w:b/>
          <w:color w:val="auto"/>
          <w:sz w:val="22"/>
          <w:szCs w:val="22"/>
          <w:highlight w:val="none"/>
        </w:rPr>
      </w:pPr>
      <w:r>
        <w:rPr>
          <w:rFonts w:hint="eastAsia" w:ascii="宋体" w:hAnsi="宋体" w:cs="宋体"/>
          <w:b w:val="0"/>
          <w:bCs/>
          <w:color w:val="auto"/>
          <w:sz w:val="22"/>
          <w:szCs w:val="22"/>
          <w:highlight w:val="none"/>
          <w:lang w:val="en-US" w:eastAsia="zh-CN"/>
        </w:rPr>
        <w:t>1、招标范围：</w:t>
      </w:r>
      <w:r>
        <w:rPr>
          <w:rFonts w:hint="eastAsia" w:ascii="宋体" w:hAnsi="宋体" w:eastAsia="宋体" w:cs="宋体"/>
          <w:b w:val="0"/>
          <w:bCs/>
          <w:color w:val="auto"/>
          <w:sz w:val="22"/>
          <w:szCs w:val="22"/>
          <w:highlight w:val="none"/>
          <w:lang w:val="en-US" w:eastAsia="zh-CN"/>
        </w:rPr>
        <w:t>绍兴市第七人民医院新院区建设工程室内分布专业图纸范围内的地下车库（B1F+B2F）、南区平层、北区平层、电梯设施等的分布线系统所有内容，包括设备采购、室内分布施工图的进一步深化设计、预埋管、套管及其封堵、设备材料供货、运输、卸货、保管、安装、调试、检测、并最终通过验收，</w:t>
      </w:r>
      <w:r>
        <w:rPr>
          <w:rFonts w:hint="eastAsia" w:ascii="宋体" w:hAnsi="宋体" w:eastAsia="宋体" w:cs="宋体"/>
          <w:b w:val="0"/>
          <w:bCs/>
          <w:color w:val="auto"/>
          <w:sz w:val="22"/>
          <w:szCs w:val="22"/>
          <w:highlight w:val="none"/>
        </w:rPr>
        <w:t>取得《准予接入公用电信网通知书》（无线室分）</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提交相关技术资料以及质保期内的维修保养等。</w:t>
      </w:r>
    </w:p>
    <w:p w14:paraId="04310842">
      <w:pPr>
        <w:keepNext w:val="0"/>
        <w:keepLines w:val="0"/>
        <w:pageBreakBefore w:val="0"/>
        <w:widowControl w:val="0"/>
        <w:numPr>
          <w:ilvl w:val="0"/>
          <w:numId w:val="0"/>
        </w:numPr>
        <w:wordWrap/>
        <w:overflowPunct/>
        <w:topLinePunct w:val="0"/>
        <w:bidi w:val="0"/>
        <w:snapToGrid w:val="0"/>
        <w:spacing w:line="312" w:lineRule="auto"/>
        <w:ind w:firstLine="440" w:firstLineChars="200"/>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如图纸需二次深化，中标人需自行或委托有设计资质的单位对图纸进行二次深化(中标之前设计院未修改到位的，需由中标人负责深化，投标时承诺的信号提升方案需由中标人负责深化)，要求二次深化图加盖相应资质的章，经总包设计院审核认可并盖章，且优化方案必须经过招标人认可方能最终实施(如有图纸、清单不明确或缺项的内容须无条件按招标人要求进行设计和施工，并最终通过验收)，各种相关一切费用不再增加。图纸中设备或材料若已有变更升级的，则相应设备或材料需变更为升级后的设备或材料并经招标人同意，费用也不再增加。招标人有权增减工作范围，该费用应予以增减。</w:t>
      </w:r>
    </w:p>
    <w:p w14:paraId="05076E18">
      <w:pPr>
        <w:pStyle w:val="8"/>
        <w:keepNext w:val="0"/>
        <w:keepLines w:val="0"/>
        <w:pageBreakBefore w:val="0"/>
        <w:widowControl w:val="0"/>
        <w:wordWrap/>
        <w:overflowPunct/>
        <w:topLinePunct w:val="0"/>
        <w:bidi w:val="0"/>
        <w:snapToGrid w:val="0"/>
        <w:spacing w:line="312" w:lineRule="auto"/>
        <w:ind w:firstLine="440" w:firstLineChars="200"/>
        <w:rPr>
          <w:rFonts w:hint="eastAsia" w:ascii="宋体" w:hAnsi="宋体" w:cs="宋体"/>
          <w:b w:val="0"/>
          <w:bCs/>
          <w:color w:val="auto"/>
          <w:sz w:val="22"/>
          <w:szCs w:val="22"/>
          <w:highlight w:val="none"/>
          <w:lang w:val="en-US" w:eastAsia="zh-CN"/>
        </w:rPr>
      </w:pPr>
      <w:r>
        <w:rPr>
          <w:rFonts w:hint="eastAsia" w:ascii="宋体" w:hAnsi="宋体" w:cs="宋体"/>
          <w:b w:val="0"/>
          <w:bCs/>
          <w:color w:val="auto"/>
          <w:sz w:val="22"/>
          <w:szCs w:val="22"/>
          <w:highlight w:val="none"/>
          <w:lang w:val="en-US" w:eastAsia="zh-CN"/>
        </w:rPr>
        <w:t>2、工作界面</w:t>
      </w:r>
    </w:p>
    <w:p w14:paraId="0D642EC9">
      <w:pPr>
        <w:pStyle w:val="8"/>
        <w:keepNext w:val="0"/>
        <w:keepLines w:val="0"/>
        <w:pageBreakBefore w:val="0"/>
        <w:widowControl w:val="0"/>
        <w:wordWrap/>
        <w:overflowPunct/>
        <w:topLinePunct w:val="0"/>
        <w:bidi w:val="0"/>
        <w:snapToGrid w:val="0"/>
        <w:spacing w:line="312" w:lineRule="auto"/>
        <w:ind w:firstLine="440" w:firstLineChars="200"/>
        <w:rPr>
          <w:rFonts w:hint="eastAsia" w:ascii="宋体" w:hAnsi="宋体" w:cs="宋体"/>
          <w:b w:val="0"/>
          <w:bCs/>
          <w:color w:val="auto"/>
          <w:sz w:val="22"/>
          <w:szCs w:val="22"/>
          <w:highlight w:val="none"/>
          <w:lang w:val="en-US" w:eastAsia="zh-CN"/>
        </w:rPr>
      </w:pPr>
      <w:r>
        <w:rPr>
          <w:rFonts w:hint="eastAsia" w:ascii="宋体" w:hAnsi="宋体" w:cs="宋体"/>
          <w:b w:val="0"/>
          <w:bCs/>
          <w:color w:val="auto"/>
          <w:sz w:val="22"/>
          <w:szCs w:val="22"/>
          <w:highlight w:val="none"/>
          <w:lang w:val="en-US" w:eastAsia="zh-CN"/>
        </w:rPr>
        <w:t>通信室内分布系统：以机房为界，机房ODF箱至无线信号覆盖天线均由中标人实施，信号源接入由中标人协调运营商信源接入单位负责实施，桥架可以与弱电桥架共用。</w:t>
      </w:r>
    </w:p>
    <w:p w14:paraId="66801E84">
      <w:pPr>
        <w:keepNext w:val="0"/>
        <w:keepLines w:val="0"/>
        <w:pageBreakBefore w:val="0"/>
        <w:widowControl w:val="0"/>
        <w:kinsoku w:val="0"/>
        <w:wordWrap/>
        <w:overflowPunct/>
        <w:topLinePunct w:val="0"/>
        <w:autoSpaceDE w:val="0"/>
        <w:autoSpaceDN w:val="0"/>
        <w:bidi w:val="0"/>
        <w:adjustRightInd w:val="0"/>
        <w:snapToGrid w:val="0"/>
        <w:spacing w:line="312" w:lineRule="auto"/>
        <w:ind w:left="0" w:right="0" w:firstLine="440" w:firstLineChars="200"/>
        <w:textAlignment w:val="baseline"/>
        <w:rPr>
          <w:rFonts w:hint="eastAsia" w:ascii="宋体" w:hAnsi="宋体" w:eastAsia="宋体" w:cs="宋体"/>
          <w:bCs/>
          <w:color w:val="auto"/>
          <w:kern w:val="2"/>
          <w:sz w:val="22"/>
          <w:szCs w:val="22"/>
          <w:highlight w:val="none"/>
          <w:lang w:val="en-US" w:eastAsia="zh-CN" w:bidi="ar-SA"/>
        </w:rPr>
      </w:pPr>
      <w:r>
        <w:rPr>
          <w:rFonts w:hint="eastAsia" w:ascii="宋体" w:hAnsi="宋体" w:cs="宋体"/>
          <w:b w:val="0"/>
          <w:bCs/>
          <w:color w:val="auto"/>
          <w:sz w:val="22"/>
          <w:szCs w:val="22"/>
          <w:highlight w:val="none"/>
          <w:lang w:val="en-US" w:eastAsia="zh-CN"/>
        </w:rPr>
        <w:t>3</w:t>
      </w:r>
      <w:r>
        <w:rPr>
          <w:rFonts w:hint="eastAsia" w:ascii="宋体" w:hAnsi="宋体" w:eastAsia="宋体" w:cs="宋体"/>
          <w:b w:val="0"/>
          <w:bCs/>
          <w:color w:val="auto"/>
          <w:sz w:val="22"/>
          <w:szCs w:val="22"/>
          <w:highlight w:val="none"/>
          <w:lang w:val="en-US" w:eastAsia="zh-CN"/>
        </w:rPr>
        <w:t>、</w:t>
      </w:r>
      <w:r>
        <w:rPr>
          <w:rFonts w:hint="eastAsia" w:ascii="宋体" w:hAnsi="宋体" w:eastAsia="宋体" w:cs="宋体"/>
          <w:bCs/>
          <w:color w:val="auto"/>
          <w:kern w:val="2"/>
          <w:sz w:val="22"/>
          <w:szCs w:val="22"/>
          <w:highlight w:val="none"/>
          <w:lang w:val="en-US" w:eastAsia="zh-CN" w:bidi="ar-SA"/>
        </w:rPr>
        <w:t>技术标准</w:t>
      </w:r>
    </w:p>
    <w:p w14:paraId="1EEA2CAF">
      <w:pPr>
        <w:keepNext w:val="0"/>
        <w:keepLines w:val="0"/>
        <w:pageBreakBefore w:val="0"/>
        <w:widowControl w:val="0"/>
        <w:kinsoku w:val="0"/>
        <w:wordWrap/>
        <w:overflowPunct/>
        <w:topLinePunct w:val="0"/>
        <w:autoSpaceDE w:val="0"/>
        <w:autoSpaceDN w:val="0"/>
        <w:bidi w:val="0"/>
        <w:adjustRightInd w:val="0"/>
        <w:snapToGrid w:val="0"/>
        <w:spacing w:line="312" w:lineRule="auto"/>
        <w:ind w:left="0" w:right="0" w:firstLine="440" w:firstLineChars="200"/>
        <w:textAlignment w:val="baseline"/>
        <w:rPr>
          <w:rFonts w:hint="eastAsia" w:ascii="宋体" w:hAnsi="宋体" w:eastAsia="宋体" w:cs="宋体"/>
          <w:bCs/>
          <w:color w:val="auto"/>
          <w:kern w:val="2"/>
          <w:sz w:val="22"/>
          <w:szCs w:val="22"/>
          <w:highlight w:val="none"/>
          <w:lang w:val="en-US" w:eastAsia="zh-CN" w:bidi="ar-SA"/>
        </w:rPr>
      </w:pPr>
      <w:r>
        <w:rPr>
          <w:rFonts w:hint="eastAsia" w:ascii="宋体" w:hAnsi="宋体" w:eastAsia="宋体" w:cs="宋体"/>
          <w:bCs/>
          <w:color w:val="auto"/>
          <w:kern w:val="2"/>
          <w:sz w:val="22"/>
          <w:szCs w:val="22"/>
          <w:highlight w:val="none"/>
          <w:lang w:val="en-US" w:eastAsia="zh-CN" w:bidi="ar-SA"/>
        </w:rPr>
        <w:t>在本规定中引用的标准和规范，应是在投标截止日期之前30天内尚在通用的或最新版本标准和规范。投标人应清楚说明所提供设备的设计、制造、检验、测试、验收等实际采用的标准和规范。当需采用国外标准和规范时，只有当其采用的标准和规范是国际公认的、适用的且等于或优于国内相关行业已实施标准和规范的要求时，此标准和规范才可能被接受。这些标准和规范包括（但不限于）：</w:t>
      </w:r>
    </w:p>
    <w:p w14:paraId="01862AD8">
      <w:pPr>
        <w:keepNext w:val="0"/>
        <w:keepLines w:val="0"/>
        <w:pageBreakBefore w:val="0"/>
        <w:widowControl w:val="0"/>
        <w:kinsoku w:val="0"/>
        <w:wordWrap/>
        <w:overflowPunct/>
        <w:topLinePunct w:val="0"/>
        <w:autoSpaceDE w:val="0"/>
        <w:autoSpaceDN w:val="0"/>
        <w:bidi w:val="0"/>
        <w:adjustRightInd w:val="0"/>
        <w:snapToGrid w:val="0"/>
        <w:spacing w:line="312" w:lineRule="auto"/>
        <w:ind w:left="0" w:right="0" w:firstLine="440" w:firstLineChars="200"/>
        <w:textAlignment w:val="baseline"/>
        <w:rPr>
          <w:rFonts w:hint="eastAsia" w:ascii="宋体" w:hAnsi="宋体" w:eastAsia="宋体" w:cs="宋体"/>
          <w:bCs/>
          <w:color w:val="auto"/>
          <w:kern w:val="2"/>
          <w:sz w:val="22"/>
          <w:szCs w:val="22"/>
          <w:highlight w:val="none"/>
          <w:lang w:val="en-US" w:eastAsia="zh-CN" w:bidi="ar-SA"/>
        </w:rPr>
      </w:pPr>
      <w:r>
        <w:rPr>
          <w:rFonts w:hint="eastAsia" w:ascii="宋体" w:hAnsi="宋体" w:eastAsia="宋体" w:cs="宋体"/>
          <w:bCs/>
          <w:color w:val="auto"/>
          <w:kern w:val="2"/>
          <w:sz w:val="22"/>
          <w:szCs w:val="22"/>
          <w:highlight w:val="none"/>
          <w:lang w:val="en-US" w:eastAsia="zh-CN" w:bidi="ar-SA"/>
        </w:rPr>
        <w:t>（1）《中华人民共和国城市规划法》；</w:t>
      </w:r>
    </w:p>
    <w:p w14:paraId="2AB6C94C">
      <w:pPr>
        <w:keepNext w:val="0"/>
        <w:keepLines w:val="0"/>
        <w:pageBreakBefore w:val="0"/>
        <w:widowControl w:val="0"/>
        <w:kinsoku w:val="0"/>
        <w:wordWrap/>
        <w:overflowPunct/>
        <w:topLinePunct w:val="0"/>
        <w:autoSpaceDE w:val="0"/>
        <w:autoSpaceDN w:val="0"/>
        <w:bidi w:val="0"/>
        <w:adjustRightInd w:val="0"/>
        <w:snapToGrid w:val="0"/>
        <w:spacing w:line="312" w:lineRule="auto"/>
        <w:ind w:left="0" w:right="0" w:firstLine="440" w:firstLineChars="200"/>
        <w:textAlignment w:val="baseline"/>
        <w:rPr>
          <w:rFonts w:hint="eastAsia" w:ascii="宋体" w:hAnsi="宋体" w:eastAsia="宋体" w:cs="宋体"/>
          <w:bCs/>
          <w:color w:val="auto"/>
          <w:kern w:val="2"/>
          <w:sz w:val="22"/>
          <w:szCs w:val="22"/>
          <w:highlight w:val="none"/>
          <w:lang w:val="en-US" w:eastAsia="zh-CN" w:bidi="ar-SA"/>
        </w:rPr>
      </w:pPr>
      <w:r>
        <w:rPr>
          <w:rFonts w:hint="eastAsia" w:ascii="宋体" w:hAnsi="宋体" w:eastAsia="宋体" w:cs="宋体"/>
          <w:bCs/>
          <w:color w:val="auto"/>
          <w:kern w:val="2"/>
          <w:sz w:val="22"/>
          <w:szCs w:val="22"/>
          <w:highlight w:val="none"/>
          <w:lang w:val="en-US" w:eastAsia="zh-CN" w:bidi="ar-SA"/>
        </w:rPr>
        <w:t>（2）《中华人民共和国电信条例》；</w:t>
      </w:r>
    </w:p>
    <w:p w14:paraId="6462108C">
      <w:pPr>
        <w:keepNext w:val="0"/>
        <w:keepLines w:val="0"/>
        <w:pageBreakBefore w:val="0"/>
        <w:widowControl w:val="0"/>
        <w:kinsoku w:val="0"/>
        <w:wordWrap/>
        <w:overflowPunct/>
        <w:topLinePunct w:val="0"/>
        <w:autoSpaceDE w:val="0"/>
        <w:autoSpaceDN w:val="0"/>
        <w:bidi w:val="0"/>
        <w:adjustRightInd w:val="0"/>
        <w:snapToGrid w:val="0"/>
        <w:spacing w:line="312" w:lineRule="auto"/>
        <w:ind w:left="0" w:right="0" w:firstLine="440" w:firstLineChars="200"/>
        <w:textAlignment w:val="baseline"/>
        <w:rPr>
          <w:rFonts w:hint="eastAsia" w:ascii="宋体" w:hAnsi="宋体" w:eastAsia="宋体" w:cs="宋体"/>
          <w:bCs/>
          <w:color w:val="auto"/>
          <w:kern w:val="2"/>
          <w:sz w:val="22"/>
          <w:szCs w:val="22"/>
          <w:highlight w:val="none"/>
          <w:lang w:val="en-US" w:eastAsia="zh-CN" w:bidi="ar-SA"/>
        </w:rPr>
      </w:pPr>
      <w:r>
        <w:rPr>
          <w:rFonts w:hint="eastAsia" w:ascii="宋体" w:hAnsi="宋体" w:eastAsia="宋体" w:cs="宋体"/>
          <w:bCs/>
          <w:color w:val="auto"/>
          <w:kern w:val="2"/>
          <w:sz w:val="22"/>
          <w:szCs w:val="22"/>
          <w:highlight w:val="none"/>
          <w:lang w:val="en-US" w:eastAsia="zh-CN" w:bidi="ar-SA"/>
        </w:rPr>
        <w:t>（3）《城市住宅区和办公楼电话通信设施设计标准》（YD/T2008-1993）；</w:t>
      </w:r>
    </w:p>
    <w:p w14:paraId="01C178EF">
      <w:pPr>
        <w:keepNext w:val="0"/>
        <w:keepLines w:val="0"/>
        <w:pageBreakBefore w:val="0"/>
        <w:widowControl w:val="0"/>
        <w:kinsoku w:val="0"/>
        <w:wordWrap/>
        <w:overflowPunct/>
        <w:topLinePunct w:val="0"/>
        <w:autoSpaceDE w:val="0"/>
        <w:autoSpaceDN w:val="0"/>
        <w:bidi w:val="0"/>
        <w:adjustRightInd w:val="0"/>
        <w:snapToGrid w:val="0"/>
        <w:spacing w:line="312" w:lineRule="auto"/>
        <w:ind w:left="0" w:right="0" w:firstLine="440" w:firstLineChars="200"/>
        <w:textAlignment w:val="baseline"/>
        <w:rPr>
          <w:rFonts w:hint="eastAsia" w:ascii="宋体" w:hAnsi="宋体" w:eastAsia="宋体" w:cs="宋体"/>
          <w:bCs/>
          <w:color w:val="auto"/>
          <w:kern w:val="2"/>
          <w:sz w:val="22"/>
          <w:szCs w:val="22"/>
          <w:highlight w:val="none"/>
          <w:lang w:val="en-US" w:eastAsia="zh-CN" w:bidi="ar-SA"/>
        </w:rPr>
      </w:pPr>
      <w:r>
        <w:rPr>
          <w:rFonts w:hint="eastAsia" w:ascii="宋体" w:hAnsi="宋体" w:eastAsia="宋体" w:cs="宋体"/>
          <w:bCs/>
          <w:color w:val="auto"/>
          <w:kern w:val="2"/>
          <w:sz w:val="22"/>
          <w:szCs w:val="22"/>
          <w:highlight w:val="none"/>
          <w:lang w:val="en-US" w:eastAsia="zh-CN" w:bidi="ar-SA"/>
        </w:rPr>
        <w:t>（4）《综合布线系统工程设计规范》（GB50311-2016）；</w:t>
      </w:r>
    </w:p>
    <w:p w14:paraId="0C3DFA51">
      <w:pPr>
        <w:keepNext w:val="0"/>
        <w:keepLines w:val="0"/>
        <w:pageBreakBefore w:val="0"/>
        <w:widowControl w:val="0"/>
        <w:kinsoku w:val="0"/>
        <w:wordWrap/>
        <w:overflowPunct/>
        <w:topLinePunct w:val="0"/>
        <w:autoSpaceDE w:val="0"/>
        <w:autoSpaceDN w:val="0"/>
        <w:bidi w:val="0"/>
        <w:adjustRightInd w:val="0"/>
        <w:snapToGrid w:val="0"/>
        <w:spacing w:line="312" w:lineRule="auto"/>
        <w:ind w:left="0" w:right="0" w:firstLine="440" w:firstLineChars="200"/>
        <w:textAlignment w:val="baseline"/>
        <w:rPr>
          <w:rFonts w:hint="eastAsia" w:ascii="宋体" w:hAnsi="宋体" w:eastAsia="宋体" w:cs="宋体"/>
          <w:bCs/>
          <w:color w:val="auto"/>
          <w:kern w:val="2"/>
          <w:sz w:val="22"/>
          <w:szCs w:val="22"/>
          <w:highlight w:val="none"/>
          <w:lang w:val="en-US" w:eastAsia="zh-CN" w:bidi="ar-SA"/>
        </w:rPr>
      </w:pPr>
      <w:r>
        <w:rPr>
          <w:rFonts w:hint="eastAsia" w:ascii="宋体" w:hAnsi="宋体" w:eastAsia="宋体" w:cs="宋体"/>
          <w:bCs/>
          <w:color w:val="auto"/>
          <w:kern w:val="2"/>
          <w:sz w:val="22"/>
          <w:szCs w:val="22"/>
          <w:highlight w:val="none"/>
          <w:lang w:val="en-US" w:eastAsia="zh-CN" w:bidi="ar-SA"/>
        </w:rPr>
        <w:t>（5）《民用建筑电气设计规范》（JGJ16-2008）；</w:t>
      </w:r>
    </w:p>
    <w:p w14:paraId="62156603">
      <w:pPr>
        <w:keepNext w:val="0"/>
        <w:keepLines w:val="0"/>
        <w:pageBreakBefore w:val="0"/>
        <w:widowControl w:val="0"/>
        <w:kinsoku w:val="0"/>
        <w:wordWrap/>
        <w:overflowPunct/>
        <w:topLinePunct w:val="0"/>
        <w:autoSpaceDE w:val="0"/>
        <w:autoSpaceDN w:val="0"/>
        <w:bidi w:val="0"/>
        <w:adjustRightInd w:val="0"/>
        <w:snapToGrid w:val="0"/>
        <w:spacing w:line="312" w:lineRule="auto"/>
        <w:ind w:left="0" w:right="0" w:firstLine="440" w:firstLineChars="200"/>
        <w:textAlignment w:val="baseline"/>
        <w:rPr>
          <w:rFonts w:hint="eastAsia" w:ascii="宋体" w:hAnsi="宋体" w:eastAsia="宋体" w:cs="宋体"/>
          <w:bCs/>
          <w:color w:val="auto"/>
          <w:kern w:val="2"/>
          <w:sz w:val="22"/>
          <w:szCs w:val="22"/>
          <w:highlight w:val="none"/>
          <w:lang w:val="en-US" w:eastAsia="zh-CN" w:bidi="ar-SA"/>
        </w:rPr>
      </w:pPr>
      <w:r>
        <w:rPr>
          <w:rFonts w:hint="eastAsia" w:ascii="宋体" w:hAnsi="宋体" w:eastAsia="宋体" w:cs="宋体"/>
          <w:bCs/>
          <w:color w:val="auto"/>
          <w:kern w:val="2"/>
          <w:sz w:val="22"/>
          <w:szCs w:val="22"/>
          <w:highlight w:val="none"/>
          <w:lang w:val="en-US" w:eastAsia="zh-CN" w:bidi="ar-SA"/>
        </w:rPr>
        <w:t>（6）《建筑物防雷设计规范》（GB50057-2010）；</w:t>
      </w:r>
    </w:p>
    <w:p w14:paraId="6644192A">
      <w:pPr>
        <w:keepNext w:val="0"/>
        <w:keepLines w:val="0"/>
        <w:pageBreakBefore w:val="0"/>
        <w:widowControl w:val="0"/>
        <w:kinsoku w:val="0"/>
        <w:wordWrap/>
        <w:overflowPunct/>
        <w:topLinePunct w:val="0"/>
        <w:autoSpaceDE w:val="0"/>
        <w:autoSpaceDN w:val="0"/>
        <w:bidi w:val="0"/>
        <w:adjustRightInd w:val="0"/>
        <w:snapToGrid w:val="0"/>
        <w:spacing w:line="312" w:lineRule="auto"/>
        <w:ind w:left="0" w:right="0" w:firstLine="440" w:firstLineChars="200"/>
        <w:textAlignment w:val="baseline"/>
        <w:rPr>
          <w:rFonts w:hint="eastAsia" w:ascii="宋体" w:hAnsi="宋体" w:eastAsia="宋体" w:cs="宋体"/>
          <w:bCs/>
          <w:color w:val="auto"/>
          <w:kern w:val="2"/>
          <w:sz w:val="22"/>
          <w:szCs w:val="22"/>
          <w:highlight w:val="none"/>
          <w:lang w:val="en-US" w:eastAsia="zh-CN" w:bidi="ar-SA"/>
        </w:rPr>
      </w:pPr>
      <w:r>
        <w:rPr>
          <w:rFonts w:hint="eastAsia" w:ascii="宋体" w:hAnsi="宋体" w:eastAsia="宋体" w:cs="宋体"/>
          <w:bCs/>
          <w:color w:val="auto"/>
          <w:kern w:val="2"/>
          <w:sz w:val="22"/>
          <w:szCs w:val="22"/>
          <w:highlight w:val="none"/>
          <w:lang w:val="en-US" w:eastAsia="zh-CN" w:bidi="ar-SA"/>
        </w:rPr>
        <w:t>（7）《高层民用建筑设计防火规范》（GB50045-95）；</w:t>
      </w:r>
    </w:p>
    <w:p w14:paraId="19090D80">
      <w:pPr>
        <w:keepNext w:val="0"/>
        <w:keepLines w:val="0"/>
        <w:pageBreakBefore w:val="0"/>
        <w:widowControl w:val="0"/>
        <w:kinsoku w:val="0"/>
        <w:wordWrap/>
        <w:overflowPunct/>
        <w:topLinePunct w:val="0"/>
        <w:autoSpaceDE w:val="0"/>
        <w:autoSpaceDN w:val="0"/>
        <w:bidi w:val="0"/>
        <w:adjustRightInd w:val="0"/>
        <w:snapToGrid w:val="0"/>
        <w:spacing w:line="312" w:lineRule="auto"/>
        <w:ind w:left="0" w:right="0" w:firstLine="440" w:firstLineChars="200"/>
        <w:textAlignment w:val="baseline"/>
        <w:rPr>
          <w:rFonts w:hint="eastAsia" w:ascii="宋体" w:hAnsi="宋体" w:eastAsia="宋体" w:cs="宋体"/>
          <w:bCs/>
          <w:color w:val="auto"/>
          <w:kern w:val="2"/>
          <w:sz w:val="22"/>
          <w:szCs w:val="22"/>
          <w:highlight w:val="none"/>
          <w:lang w:val="en-US" w:eastAsia="zh-CN" w:bidi="ar-SA"/>
        </w:rPr>
      </w:pPr>
      <w:r>
        <w:rPr>
          <w:rFonts w:hint="eastAsia" w:ascii="宋体" w:hAnsi="宋体" w:eastAsia="宋体" w:cs="宋体"/>
          <w:bCs/>
          <w:color w:val="auto"/>
          <w:kern w:val="2"/>
          <w:sz w:val="22"/>
          <w:szCs w:val="22"/>
          <w:highlight w:val="none"/>
          <w:lang w:val="en-US" w:eastAsia="zh-CN" w:bidi="ar-SA"/>
        </w:rPr>
        <w:t>（8）《建筑物电子信息系统防雷设计规范》（GB50343-2012）；</w:t>
      </w:r>
    </w:p>
    <w:p w14:paraId="4255635C">
      <w:pPr>
        <w:keepNext w:val="0"/>
        <w:keepLines w:val="0"/>
        <w:pageBreakBefore w:val="0"/>
        <w:widowControl w:val="0"/>
        <w:kinsoku w:val="0"/>
        <w:wordWrap/>
        <w:overflowPunct/>
        <w:topLinePunct w:val="0"/>
        <w:autoSpaceDE w:val="0"/>
        <w:autoSpaceDN w:val="0"/>
        <w:bidi w:val="0"/>
        <w:adjustRightInd w:val="0"/>
        <w:snapToGrid w:val="0"/>
        <w:spacing w:line="312" w:lineRule="auto"/>
        <w:ind w:left="0" w:right="0" w:firstLine="440" w:firstLineChars="200"/>
        <w:textAlignment w:val="baseline"/>
        <w:rPr>
          <w:rFonts w:hint="eastAsia" w:ascii="宋体" w:hAnsi="宋体" w:eastAsia="宋体" w:cs="宋体"/>
          <w:bCs/>
          <w:color w:val="auto"/>
          <w:kern w:val="2"/>
          <w:sz w:val="22"/>
          <w:szCs w:val="22"/>
          <w:highlight w:val="none"/>
          <w:lang w:val="en-US" w:eastAsia="zh-CN" w:bidi="ar-SA"/>
        </w:rPr>
      </w:pPr>
      <w:r>
        <w:rPr>
          <w:rFonts w:hint="eastAsia" w:ascii="宋体" w:hAnsi="宋体" w:eastAsia="宋体" w:cs="宋体"/>
          <w:bCs/>
          <w:color w:val="auto"/>
          <w:kern w:val="2"/>
          <w:sz w:val="22"/>
          <w:szCs w:val="22"/>
          <w:highlight w:val="none"/>
          <w:lang w:val="en-US" w:eastAsia="zh-CN" w:bidi="ar-SA"/>
        </w:rPr>
        <w:t>（9）《建设工程配建5G移动通信基础设施技术标准》（J15569-2021）；</w:t>
      </w:r>
    </w:p>
    <w:p w14:paraId="7A032AFA">
      <w:pPr>
        <w:keepNext w:val="0"/>
        <w:keepLines w:val="0"/>
        <w:pageBreakBefore w:val="0"/>
        <w:widowControl w:val="0"/>
        <w:kinsoku w:val="0"/>
        <w:wordWrap/>
        <w:overflowPunct/>
        <w:topLinePunct w:val="0"/>
        <w:autoSpaceDE w:val="0"/>
        <w:autoSpaceDN w:val="0"/>
        <w:bidi w:val="0"/>
        <w:adjustRightInd w:val="0"/>
        <w:snapToGrid w:val="0"/>
        <w:spacing w:line="312" w:lineRule="auto"/>
        <w:ind w:left="0" w:right="0" w:firstLine="440" w:firstLineChars="200"/>
        <w:textAlignment w:val="baseline"/>
        <w:rPr>
          <w:rFonts w:hint="eastAsia" w:ascii="宋体" w:hAnsi="宋体" w:eastAsia="宋体" w:cs="宋体"/>
          <w:bCs/>
          <w:color w:val="auto"/>
          <w:kern w:val="2"/>
          <w:sz w:val="22"/>
          <w:szCs w:val="22"/>
          <w:highlight w:val="none"/>
          <w:lang w:val="en-US" w:eastAsia="zh-CN" w:bidi="ar-SA"/>
        </w:rPr>
      </w:pPr>
      <w:r>
        <w:rPr>
          <w:rFonts w:hint="eastAsia" w:ascii="宋体" w:hAnsi="宋体" w:eastAsia="宋体" w:cs="宋体"/>
          <w:bCs/>
          <w:color w:val="auto"/>
          <w:kern w:val="2"/>
          <w:sz w:val="22"/>
          <w:szCs w:val="22"/>
          <w:highlight w:val="none"/>
          <w:lang w:val="en-US" w:eastAsia="zh-CN" w:bidi="ar-SA"/>
        </w:rPr>
        <w:t>（10）《通信系统机房设计》（GBKJ-90）；</w:t>
      </w:r>
    </w:p>
    <w:p w14:paraId="5511DA5A">
      <w:pPr>
        <w:keepNext w:val="0"/>
        <w:keepLines w:val="0"/>
        <w:pageBreakBefore w:val="0"/>
        <w:widowControl w:val="0"/>
        <w:kinsoku w:val="0"/>
        <w:wordWrap/>
        <w:overflowPunct/>
        <w:topLinePunct w:val="0"/>
        <w:autoSpaceDE w:val="0"/>
        <w:autoSpaceDN w:val="0"/>
        <w:bidi w:val="0"/>
        <w:adjustRightInd w:val="0"/>
        <w:snapToGrid w:val="0"/>
        <w:spacing w:line="312" w:lineRule="auto"/>
        <w:ind w:left="0" w:right="0" w:firstLine="440" w:firstLineChars="200"/>
        <w:textAlignment w:val="baseline"/>
        <w:rPr>
          <w:rFonts w:hint="eastAsia" w:ascii="宋体" w:hAnsi="宋体" w:eastAsia="宋体" w:cs="宋体"/>
          <w:bCs/>
          <w:color w:val="auto"/>
          <w:kern w:val="2"/>
          <w:sz w:val="22"/>
          <w:szCs w:val="22"/>
          <w:highlight w:val="none"/>
          <w:lang w:val="en-US" w:eastAsia="zh-CN" w:bidi="ar-SA"/>
        </w:rPr>
      </w:pPr>
      <w:r>
        <w:rPr>
          <w:rFonts w:hint="eastAsia" w:ascii="宋体" w:hAnsi="宋体" w:eastAsia="宋体" w:cs="宋体"/>
          <w:bCs/>
          <w:color w:val="auto"/>
          <w:kern w:val="2"/>
          <w:sz w:val="22"/>
          <w:szCs w:val="22"/>
          <w:highlight w:val="none"/>
          <w:lang w:val="en-US" w:eastAsia="zh-CN" w:bidi="ar-SA"/>
        </w:rPr>
        <w:t>（11）《绍兴市5G移动通信基础设施建设导则》（试行）；</w:t>
      </w:r>
    </w:p>
    <w:p w14:paraId="50F3CF8D">
      <w:pPr>
        <w:keepNext w:val="0"/>
        <w:keepLines w:val="0"/>
        <w:pageBreakBefore w:val="0"/>
        <w:widowControl w:val="0"/>
        <w:kinsoku w:val="0"/>
        <w:wordWrap/>
        <w:overflowPunct/>
        <w:topLinePunct w:val="0"/>
        <w:autoSpaceDE w:val="0"/>
        <w:autoSpaceDN w:val="0"/>
        <w:bidi w:val="0"/>
        <w:adjustRightInd w:val="0"/>
        <w:snapToGrid w:val="0"/>
        <w:spacing w:line="312" w:lineRule="auto"/>
        <w:ind w:left="0" w:right="0" w:firstLine="440" w:firstLineChars="200"/>
        <w:textAlignment w:val="baseline"/>
        <w:rPr>
          <w:rFonts w:hint="eastAsia" w:ascii="宋体" w:hAnsi="宋体" w:eastAsia="宋体" w:cs="宋体"/>
          <w:bCs/>
          <w:color w:val="auto"/>
          <w:kern w:val="2"/>
          <w:sz w:val="22"/>
          <w:szCs w:val="22"/>
          <w:highlight w:val="none"/>
          <w:lang w:val="en-US" w:eastAsia="zh-CN" w:bidi="ar-SA"/>
        </w:rPr>
      </w:pPr>
      <w:r>
        <w:rPr>
          <w:rFonts w:hint="eastAsia" w:ascii="宋体" w:hAnsi="宋体" w:eastAsia="宋体" w:cs="宋体"/>
          <w:bCs/>
          <w:color w:val="auto"/>
          <w:kern w:val="2"/>
          <w:sz w:val="22"/>
          <w:szCs w:val="22"/>
          <w:highlight w:val="none"/>
          <w:lang w:val="en-US" w:eastAsia="zh-CN" w:bidi="ar-SA"/>
        </w:rPr>
        <w:t>（12）《无线通信室内覆盖系统工程技术标准》（GB/T51292-2018）；</w:t>
      </w:r>
    </w:p>
    <w:p w14:paraId="1F20BA58">
      <w:pPr>
        <w:keepNext w:val="0"/>
        <w:keepLines w:val="0"/>
        <w:pageBreakBefore w:val="0"/>
        <w:widowControl w:val="0"/>
        <w:kinsoku w:val="0"/>
        <w:wordWrap/>
        <w:overflowPunct/>
        <w:topLinePunct w:val="0"/>
        <w:autoSpaceDE w:val="0"/>
        <w:autoSpaceDN w:val="0"/>
        <w:bidi w:val="0"/>
        <w:adjustRightInd w:val="0"/>
        <w:snapToGrid w:val="0"/>
        <w:spacing w:line="312" w:lineRule="auto"/>
        <w:ind w:left="0" w:right="0" w:firstLine="440" w:firstLineChars="200"/>
        <w:textAlignment w:val="baseline"/>
        <w:rPr>
          <w:rFonts w:hint="eastAsia" w:ascii="宋体" w:hAnsi="宋体" w:eastAsia="宋体" w:cs="宋体"/>
          <w:bCs/>
          <w:color w:val="auto"/>
          <w:kern w:val="2"/>
          <w:sz w:val="22"/>
          <w:szCs w:val="22"/>
          <w:highlight w:val="none"/>
          <w:lang w:val="en-US" w:eastAsia="zh-CN" w:bidi="ar-SA"/>
        </w:rPr>
      </w:pPr>
      <w:r>
        <w:rPr>
          <w:rFonts w:hint="eastAsia" w:ascii="宋体" w:hAnsi="宋体" w:eastAsia="宋体" w:cs="宋体"/>
          <w:bCs/>
          <w:color w:val="auto"/>
          <w:kern w:val="2"/>
          <w:sz w:val="22"/>
          <w:szCs w:val="22"/>
          <w:highlight w:val="none"/>
          <w:lang w:val="en-US" w:eastAsia="zh-CN" w:bidi="ar-SA"/>
        </w:rPr>
        <w:t>（13）《综合布线系统工程设计规范》（GB50311-2016）；</w:t>
      </w:r>
    </w:p>
    <w:p w14:paraId="6A4EE775">
      <w:pPr>
        <w:keepNext w:val="0"/>
        <w:keepLines w:val="0"/>
        <w:pageBreakBefore w:val="0"/>
        <w:widowControl w:val="0"/>
        <w:kinsoku w:val="0"/>
        <w:wordWrap/>
        <w:overflowPunct/>
        <w:topLinePunct w:val="0"/>
        <w:autoSpaceDE w:val="0"/>
        <w:autoSpaceDN w:val="0"/>
        <w:bidi w:val="0"/>
        <w:adjustRightInd w:val="0"/>
        <w:snapToGrid w:val="0"/>
        <w:spacing w:line="312" w:lineRule="auto"/>
        <w:ind w:left="0" w:right="0" w:firstLine="440" w:firstLineChars="200"/>
        <w:textAlignment w:val="baseline"/>
        <w:rPr>
          <w:rFonts w:hint="eastAsia" w:ascii="宋体" w:hAnsi="宋体" w:eastAsia="宋体" w:cs="宋体"/>
          <w:bCs/>
          <w:color w:val="auto"/>
          <w:kern w:val="2"/>
          <w:sz w:val="22"/>
          <w:szCs w:val="22"/>
          <w:highlight w:val="none"/>
          <w:lang w:val="en-US" w:eastAsia="zh-CN" w:bidi="ar-SA"/>
        </w:rPr>
      </w:pPr>
      <w:r>
        <w:rPr>
          <w:rFonts w:hint="eastAsia" w:ascii="宋体" w:hAnsi="宋体" w:eastAsia="宋体" w:cs="宋体"/>
          <w:bCs/>
          <w:color w:val="auto"/>
          <w:kern w:val="2"/>
          <w:sz w:val="22"/>
          <w:szCs w:val="22"/>
          <w:highlight w:val="none"/>
          <w:lang w:val="en-US" w:eastAsia="zh-CN" w:bidi="ar-SA"/>
        </w:rPr>
        <w:t>（14）《公共建筑光纤宽带接入工程技术标准》（GB51433-2020）。</w:t>
      </w:r>
    </w:p>
    <w:p w14:paraId="74EBC40A">
      <w:pPr>
        <w:keepNext w:val="0"/>
        <w:keepLines w:val="0"/>
        <w:pageBreakBefore w:val="0"/>
        <w:widowControl w:val="0"/>
        <w:numPr>
          <w:ilvl w:val="0"/>
          <w:numId w:val="0"/>
        </w:numPr>
        <w:kinsoku/>
        <w:wordWrap/>
        <w:overflowPunct/>
        <w:topLinePunct w:val="0"/>
        <w:bidi w:val="0"/>
        <w:snapToGrid w:val="0"/>
        <w:spacing w:line="312" w:lineRule="auto"/>
        <w:ind w:firstLine="330" w:firstLineChars="150"/>
        <w:rPr>
          <w:rFonts w:hint="eastAsia" w:ascii="宋体" w:hAnsi="宋体" w:eastAsia="宋体" w:cs="宋体"/>
          <w:b/>
          <w:bCs w:val="0"/>
          <w:color w:val="auto"/>
          <w:sz w:val="22"/>
          <w:szCs w:val="22"/>
          <w:highlight w:val="none"/>
          <w:lang w:val="en-US" w:eastAsia="zh-CN"/>
        </w:rPr>
      </w:pPr>
      <w:r>
        <w:rPr>
          <w:rFonts w:hint="eastAsia" w:ascii="宋体" w:hAnsi="宋体" w:eastAsia="宋体" w:cs="宋体"/>
          <w:bCs/>
          <w:color w:val="auto"/>
          <w:kern w:val="2"/>
          <w:sz w:val="22"/>
          <w:szCs w:val="22"/>
          <w:highlight w:val="none"/>
          <w:lang w:val="en-US" w:eastAsia="zh-CN" w:bidi="ar-SA"/>
        </w:rPr>
        <w:t>4、</w:t>
      </w:r>
      <w:r>
        <w:rPr>
          <w:rFonts w:hint="eastAsia" w:ascii="宋体" w:hAnsi="宋体" w:eastAsia="宋体" w:cs="宋体"/>
          <w:bCs/>
          <w:color w:val="auto"/>
          <w:sz w:val="22"/>
          <w:szCs w:val="22"/>
          <w:highlight w:val="none"/>
          <w:lang w:val="en-US" w:eastAsia="zh-CN"/>
        </w:rPr>
        <w:t>招标清单：</w:t>
      </w:r>
      <w:r>
        <w:rPr>
          <w:rFonts w:hint="eastAsia" w:ascii="宋体" w:hAnsi="宋体" w:eastAsia="宋体" w:cs="宋体"/>
          <w:b/>
          <w:bCs w:val="0"/>
          <w:color w:val="auto"/>
          <w:sz w:val="22"/>
          <w:szCs w:val="22"/>
          <w:highlight w:val="none"/>
          <w:lang w:val="en-US" w:eastAsia="zh-CN"/>
        </w:rPr>
        <w:t>（此清单为招标人要求最低配置）</w:t>
      </w:r>
    </w:p>
    <w:tbl>
      <w:tblPr>
        <w:tblStyle w:val="23"/>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
        <w:gridCol w:w="1357"/>
        <w:gridCol w:w="1444"/>
        <w:gridCol w:w="4890"/>
        <w:gridCol w:w="426"/>
        <w:gridCol w:w="741"/>
      </w:tblGrid>
      <w:tr w14:paraId="65B54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nil"/>
              <w:right w:val="single" w:color="000000" w:sz="4" w:space="0"/>
            </w:tcBorders>
            <w:noWrap w:val="0"/>
            <w:vAlign w:val="center"/>
          </w:tcPr>
          <w:p w14:paraId="3B8F75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序号</w:t>
            </w:r>
          </w:p>
        </w:tc>
        <w:tc>
          <w:tcPr>
            <w:tcW w:w="771" w:type="pct"/>
            <w:tcBorders>
              <w:top w:val="single" w:color="000000" w:sz="4" w:space="0"/>
              <w:left w:val="single" w:color="000000" w:sz="4" w:space="0"/>
              <w:bottom w:val="nil"/>
              <w:right w:val="single" w:color="000000" w:sz="4" w:space="0"/>
            </w:tcBorders>
            <w:noWrap w:val="0"/>
            <w:vAlign w:val="center"/>
          </w:tcPr>
          <w:p w14:paraId="6DA4B17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货物名称</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5D17E8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规格</w:t>
            </w:r>
          </w:p>
        </w:tc>
        <w:tc>
          <w:tcPr>
            <w:tcW w:w="2672" w:type="pct"/>
            <w:tcBorders>
              <w:top w:val="single" w:color="000000" w:sz="4" w:space="0"/>
              <w:left w:val="single" w:color="000000" w:sz="4" w:space="0"/>
              <w:bottom w:val="nil"/>
              <w:right w:val="single" w:color="000000" w:sz="4" w:space="0"/>
            </w:tcBorders>
            <w:noWrap w:val="0"/>
            <w:vAlign w:val="center"/>
          </w:tcPr>
          <w:p w14:paraId="6AEB36B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参数</w:t>
            </w:r>
          </w:p>
        </w:tc>
        <w:tc>
          <w:tcPr>
            <w:tcW w:w="221" w:type="pct"/>
            <w:tcBorders>
              <w:top w:val="single" w:color="000000" w:sz="4" w:space="0"/>
              <w:left w:val="single" w:color="000000" w:sz="4" w:space="0"/>
              <w:bottom w:val="nil"/>
              <w:right w:val="single" w:color="000000" w:sz="4" w:space="0"/>
            </w:tcBorders>
            <w:noWrap w:val="0"/>
            <w:vAlign w:val="center"/>
          </w:tcPr>
          <w:p w14:paraId="4C22C3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单位</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5E1D83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数量</w:t>
            </w:r>
          </w:p>
        </w:tc>
      </w:tr>
      <w:tr w14:paraId="1BA1E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657D739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748737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无源器件</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36AB31C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5dB耦合器（普通）-300W</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5C2D1AD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1.频率范围：700MHz-3700MHz；功率容限：300W；总功率大于36dB以上型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2.三阶互调：≤-140dBm。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3.五阶互调：≤-155dBm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4.驻波比：≤1.3</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5.插入损耗：≤2.3dB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6.耦合偏离度：±0.8dB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7.最小隔离度：≥23dB</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7FC5B5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0868B6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162</w:t>
            </w:r>
          </w:p>
        </w:tc>
      </w:tr>
      <w:tr w14:paraId="30BEB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71E467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6B4C850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无源器件</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0F3FAA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6dB耦合器（普通)-300W</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5162EE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1.频率范围：700MHz-3700MHz；功率容限：300W；总功率大于36dB以上型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2.三阶互调：≤-140dBm。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3.五阶互调：≤-155dBm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4.驻波比：≤1.3</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5.插入损耗：≤2.3dB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6.耦合偏离度：±0.8dB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7.最小隔离度：≥23dB</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6238690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2334610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178</w:t>
            </w:r>
          </w:p>
        </w:tc>
      </w:tr>
      <w:tr w14:paraId="4E39B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2DC86D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0F32776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无源器件</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00B8E7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7dB耦合器（普通)-300W</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10BFE8F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1.频率范围：700MHz-3700MHz；功率容限：300W；总功率大于36dB以上型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2.三阶互调：≤-140dBm。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3.五阶互调：≤-155dBm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4.驻波比：≤1.3</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5.插入损耗：≤2.3dB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6.耦合偏离度：±0.8dB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7.最小隔离度：≥23dB</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5243FA7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23D4FA9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222</w:t>
            </w:r>
          </w:p>
        </w:tc>
      </w:tr>
      <w:tr w14:paraId="184C6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1E50BCA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7A29065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无源器件</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33FC31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10dB耦合器（普通)-300W</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2B7310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1.频率范围：700MHz-3700MHz；功率容限：300W；总功率大于36dB以上型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2.三阶互调：≤-140dBm。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3.五阶互调：≤-155dBm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4.驻波比：≤1.3</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5.插入损耗：≤2.3dB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6.耦合偏离度：±0.8dB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7.最小隔离度：≥23dB</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7F08B6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2E61A0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464</w:t>
            </w:r>
          </w:p>
        </w:tc>
      </w:tr>
      <w:tr w14:paraId="3F641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194309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4FB5B0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无源器件</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23B20B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15dB耦合器（普通)-300W</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5B4F648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1.频率范围：700MHz-3700MHz；功率容限：300W；总功率大于36dB以上型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2.三阶互调：≤-140dBm。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3.五阶互调：≤-155dBm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4.驻波比：≤1.3</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5.插入损耗：≤2.3dB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6.耦合偏离度：±0.8dB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7.最小隔离度：≥23dB</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068E8B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5F90D2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386</w:t>
            </w:r>
          </w:p>
        </w:tc>
      </w:tr>
      <w:tr w14:paraId="38EBB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1CA589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7B1CA38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无源器件</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282C1D6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20dB耦合器（普通)-300W</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5FD93FB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1.频率范围：700MHz-3700MHz；功率容限：300W；总功率大于36dB以上型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2.三阶互调：≤-140dBm。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3.五阶互调：≤-155dBm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4.驻波比：≤1.3</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5.插入损耗：≤2.3dB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6.耦合偏离度：±0.8dB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7.最小隔离度：≥23dB</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22BCBA3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61EC9A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156</w:t>
            </w:r>
          </w:p>
        </w:tc>
      </w:tr>
      <w:tr w14:paraId="699C9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19468A7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29DE72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无源器件</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4D472C8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二功分器（普通)-300W</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71C0F3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1、频率范围：700MHz-3700MHz；功率容限：300W；总功率大于36dB以上型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2.三阶互调：≤-140dBm。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3.五阶互调：≤-155dBm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4.驻波比：≤1.3</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5.插入损耗：≤3.3dB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6.带内波动：≤0.3dB</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5023E7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19DDD0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786</w:t>
            </w:r>
          </w:p>
        </w:tc>
      </w:tr>
      <w:tr w14:paraId="4DD86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2609F2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5AD20C0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无源器件</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6B3C1F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三功分器（普通)-300W</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2965FE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1、频率范围：700MHz-3700MHz；功率容限：300W；总功率大于36dB以上型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2.三阶互调：≤-140dBm。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3.五阶互调：≤-155dBm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4.驻波比：≤1.3</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5.插入损耗：≤5.2dB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6.带内波动：≤0.43dB</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76C370B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11147F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102</w:t>
            </w:r>
          </w:p>
        </w:tc>
      </w:tr>
      <w:tr w14:paraId="6C1D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7D7C7F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722DD24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室内天线</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0104680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增强型室内全向单极化吸顶天线</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62202D6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1.颜色：白色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2.方向性：全向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3.极化方式：垂直极化</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4.工作频段：700-3700MHZ</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5.平均功率容量：10w</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6.驻波比≤1.4。</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7.三阶互调≤-85dBm。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8.五阶互调：≤-122dBm</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416108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副</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35967E3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2226</w:t>
            </w:r>
          </w:p>
        </w:tc>
      </w:tr>
      <w:tr w14:paraId="36362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0C8D86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1AA8F57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室内天线</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536416A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室内定向单极化壁挂天线</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3CC3532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1.颜色：白色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2.方向性：定向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3.极化方式：垂直极化</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4.工作频段：700-3700MHZ</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5.平均功率容量：10w</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6.驻波比≤1.4。</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7.三阶互调≤-85dBm。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8.五阶互调：≤-122dBm</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6FFDB7B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副</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25FD80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410</w:t>
            </w:r>
          </w:p>
        </w:tc>
      </w:tr>
      <w:tr w14:paraId="5C500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7442B69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1C9B53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馈线</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0FCC81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1/2英寸阻燃馈线</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16C2B34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1.电阻：50Ω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2.颜色：黑色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3.转换器：1/2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4.连接线：馈线接头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5.护套最小厚度规格1/2：≥0.8MM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6.电缆最大外径规格1/2：≤16.4MM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7.绝缘介电强度：DC 6000V 1min 不击穿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8.内导体直流电阻(20℃)规格1/2：≤1.62Ω/km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9.外导体直流电阻(20℃)规格1/2：≤2.5Ω/km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10.电压驻波比≤1.40</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4C1A6E7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米</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4C27D6D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26816</w:t>
            </w:r>
          </w:p>
        </w:tc>
      </w:tr>
      <w:tr w14:paraId="65E57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7A7DCED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7FFCED5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馈线</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4C629DB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7/8英寸阻燃馈线</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69A5B29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1.电阻：50Ω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2.颜色：黑色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3.转换器：7/8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4.连接线：馈线接头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5.护套最小厚度规格7/8：≥1MM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6.电缆最大外径规格7/8：≤27.5M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7.绝缘介电强度：DC 6000V 1min 不击穿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8.内导体直流电阻(20℃)规格7/8：≤1.5Ω/km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9.外导体直流电阻(20℃)规格7/8：≤1.34Ω/km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10.电压驻波比≤1.30</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251C556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米</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6EFC76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532</w:t>
            </w:r>
          </w:p>
        </w:tc>
      </w:tr>
      <w:tr w14:paraId="5B1E5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6E29CB8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1B852DB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24芯光缆</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05A59C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GYTA-24B1</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6B7130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1、规格：24芯单模光缆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产品描述：紧套光纤外径均匀，具有很好的剥离效果；外皮和紧套光纤之间有多股纺纶丝，增加了光纤的强度；外皮材料采用阻燃型高分子PVC材料；适用于大楼垂直主干以及光纤到桌面系统的应用；外皮为黄色，易于施工区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3、光纤几何机械特性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光纤类别：9/125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芯核直径(ìm)：9.3±0.4</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包层直径(ìm)：125±2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包层不圆度 (%)：≤1%</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涂覆层直径(ìm)：245±10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涂覆层不圆度 (%)：≤6%</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芯核/包层同心度误差(ìm)：&lt;0.8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包层/涂覆层同心度误差(ìm)：&lt;12.0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数值孔径：0.275±0.015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4、光纤传输特性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衰减：1310nm    ≤0.36dB/km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      1550nm    ≤0.22dB/km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色散系数：1285~1340nm    -3.5～3.5ps/(nm.km)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          1550nm    ≤18ps/(nm.km)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零色散波长范围：1302~1324nm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零色散斜率：≤0.093ps/(nm2.km)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截止波长：1150≤</w:t>
            </w:r>
            <w:r>
              <w:rPr>
                <w:rStyle w:val="101"/>
                <w:rFonts w:hint="eastAsia" w:ascii="宋体" w:hAnsi="宋体" w:eastAsia="宋体" w:cs="宋体"/>
                <w:color w:val="auto"/>
                <w:sz w:val="21"/>
                <w:szCs w:val="21"/>
                <w:highlight w:val="none"/>
                <w:lang w:val="en-US" w:eastAsia="zh-CN" w:bidi="ar"/>
              </w:rPr>
              <w:t>ë</w:t>
            </w:r>
            <w:r>
              <w:rPr>
                <w:rStyle w:val="102"/>
                <w:rFonts w:hint="eastAsia" w:ascii="宋体" w:hAnsi="宋体" w:eastAsia="宋体" w:cs="宋体"/>
                <w:color w:val="auto"/>
                <w:sz w:val="21"/>
                <w:szCs w:val="21"/>
                <w:highlight w:val="none"/>
                <w:lang w:val="en-US" w:eastAsia="zh-CN" w:bidi="ar"/>
              </w:rPr>
              <w:t>c≤1330nm</w:t>
            </w:r>
            <w:r>
              <w:rPr>
                <w:rStyle w:val="102"/>
                <w:rFonts w:hint="eastAsia" w:ascii="宋体" w:hAnsi="宋体" w:eastAsia="宋体" w:cs="宋体"/>
                <w:color w:val="auto"/>
                <w:sz w:val="21"/>
                <w:szCs w:val="21"/>
                <w:highlight w:val="none"/>
                <w:lang w:val="en-US" w:eastAsia="zh-CN" w:bidi="ar"/>
              </w:rPr>
              <w:br w:type="textWrapping"/>
            </w:r>
            <w:r>
              <w:rPr>
                <w:rStyle w:val="102"/>
                <w:rFonts w:hint="eastAsia" w:ascii="宋体" w:hAnsi="宋体" w:eastAsia="宋体" w:cs="宋体"/>
                <w:color w:val="auto"/>
                <w:sz w:val="21"/>
                <w:szCs w:val="21"/>
                <w:highlight w:val="none"/>
                <w:lang w:val="en-US" w:eastAsia="zh-CN" w:bidi="ar"/>
              </w:rPr>
              <w:t>模长直径 (MFD)：1310nm    9.3±0.4ìm</w:t>
            </w:r>
            <w:r>
              <w:rPr>
                <w:rStyle w:val="102"/>
                <w:rFonts w:hint="eastAsia" w:ascii="宋体" w:hAnsi="宋体" w:eastAsia="宋体" w:cs="宋体"/>
                <w:color w:val="auto"/>
                <w:sz w:val="21"/>
                <w:szCs w:val="21"/>
                <w:highlight w:val="none"/>
                <w:lang w:val="en-US" w:eastAsia="zh-CN" w:bidi="ar"/>
              </w:rPr>
              <w:br w:type="textWrapping"/>
            </w:r>
            <w:r>
              <w:rPr>
                <w:rStyle w:val="102"/>
                <w:rFonts w:hint="eastAsia" w:ascii="宋体" w:hAnsi="宋体" w:eastAsia="宋体" w:cs="宋体"/>
                <w:color w:val="auto"/>
                <w:sz w:val="21"/>
                <w:szCs w:val="21"/>
                <w:highlight w:val="none"/>
                <w:lang w:val="en-US" w:eastAsia="zh-CN" w:bidi="ar"/>
              </w:rPr>
              <w:t>光纤翘曲特性参数R：4.0 m</w:t>
            </w:r>
            <w:r>
              <w:rPr>
                <w:rStyle w:val="102"/>
                <w:rFonts w:hint="eastAsia" w:ascii="宋体" w:hAnsi="宋体" w:eastAsia="宋体" w:cs="宋体"/>
                <w:color w:val="auto"/>
                <w:sz w:val="21"/>
                <w:szCs w:val="21"/>
                <w:highlight w:val="none"/>
                <w:lang w:val="en-US" w:eastAsia="zh-CN" w:bidi="ar"/>
              </w:rPr>
              <w:br w:type="textWrapping"/>
            </w:r>
            <w:r>
              <w:rPr>
                <w:rStyle w:val="102"/>
                <w:rFonts w:hint="eastAsia" w:ascii="宋体" w:hAnsi="宋体" w:eastAsia="宋体" w:cs="宋体"/>
                <w:color w:val="auto"/>
                <w:sz w:val="21"/>
                <w:szCs w:val="21"/>
                <w:highlight w:val="none"/>
                <w:lang w:val="en-US" w:eastAsia="zh-CN" w:bidi="ar"/>
              </w:rPr>
              <w:t>5、环境特性</w:t>
            </w:r>
            <w:r>
              <w:rPr>
                <w:rStyle w:val="102"/>
                <w:rFonts w:hint="eastAsia" w:ascii="宋体" w:hAnsi="宋体" w:eastAsia="宋体" w:cs="宋体"/>
                <w:color w:val="auto"/>
                <w:sz w:val="21"/>
                <w:szCs w:val="21"/>
                <w:highlight w:val="none"/>
                <w:lang w:val="en-US" w:eastAsia="zh-CN" w:bidi="ar"/>
              </w:rPr>
              <w:br w:type="textWrapping"/>
            </w:r>
            <w:r>
              <w:rPr>
                <w:rStyle w:val="102"/>
                <w:rFonts w:hint="eastAsia" w:ascii="宋体" w:hAnsi="宋体" w:eastAsia="宋体" w:cs="宋体"/>
                <w:color w:val="auto"/>
                <w:sz w:val="21"/>
                <w:szCs w:val="21"/>
                <w:highlight w:val="none"/>
                <w:lang w:val="en-US" w:eastAsia="zh-CN" w:bidi="ar"/>
              </w:rPr>
              <w:t>运输温度：-20～60℃</w:t>
            </w:r>
            <w:r>
              <w:rPr>
                <w:rStyle w:val="102"/>
                <w:rFonts w:hint="eastAsia" w:ascii="宋体" w:hAnsi="宋体" w:eastAsia="宋体" w:cs="宋体"/>
                <w:color w:val="auto"/>
                <w:sz w:val="21"/>
                <w:szCs w:val="21"/>
                <w:highlight w:val="none"/>
                <w:lang w:val="en-US" w:eastAsia="zh-CN" w:bidi="ar"/>
              </w:rPr>
              <w:br w:type="textWrapping"/>
            </w:r>
            <w:r>
              <w:rPr>
                <w:rStyle w:val="102"/>
                <w:rFonts w:hint="eastAsia" w:ascii="宋体" w:hAnsi="宋体" w:eastAsia="宋体" w:cs="宋体"/>
                <w:color w:val="auto"/>
                <w:sz w:val="21"/>
                <w:szCs w:val="21"/>
                <w:highlight w:val="none"/>
                <w:lang w:val="en-US" w:eastAsia="zh-CN" w:bidi="ar"/>
              </w:rPr>
              <w:t>储藏温度：-5～50℃</w:t>
            </w:r>
            <w:r>
              <w:rPr>
                <w:rStyle w:val="102"/>
                <w:rFonts w:hint="eastAsia" w:ascii="宋体" w:hAnsi="宋体" w:eastAsia="宋体" w:cs="宋体"/>
                <w:color w:val="auto"/>
                <w:sz w:val="21"/>
                <w:szCs w:val="21"/>
                <w:highlight w:val="none"/>
                <w:lang w:val="en-US" w:eastAsia="zh-CN" w:bidi="ar"/>
              </w:rPr>
              <w:br w:type="textWrapping"/>
            </w:r>
            <w:r>
              <w:rPr>
                <w:rStyle w:val="102"/>
                <w:rFonts w:hint="eastAsia" w:ascii="宋体" w:hAnsi="宋体" w:eastAsia="宋体" w:cs="宋体"/>
                <w:color w:val="auto"/>
                <w:sz w:val="21"/>
                <w:szCs w:val="21"/>
                <w:highlight w:val="none"/>
                <w:lang w:val="en-US" w:eastAsia="zh-CN" w:bidi="ar"/>
              </w:rPr>
              <w:t>施工温度：-5～40℃</w:t>
            </w:r>
            <w:r>
              <w:rPr>
                <w:rStyle w:val="102"/>
                <w:rFonts w:hint="eastAsia" w:ascii="宋体" w:hAnsi="宋体" w:eastAsia="宋体" w:cs="宋体"/>
                <w:color w:val="auto"/>
                <w:sz w:val="21"/>
                <w:szCs w:val="21"/>
                <w:highlight w:val="none"/>
                <w:lang w:val="en-US" w:eastAsia="zh-CN" w:bidi="ar"/>
              </w:rPr>
              <w:br w:type="textWrapping"/>
            </w:r>
            <w:r>
              <w:rPr>
                <w:rStyle w:val="102"/>
                <w:rFonts w:hint="eastAsia" w:ascii="宋体" w:hAnsi="宋体" w:eastAsia="宋体" w:cs="宋体"/>
                <w:color w:val="auto"/>
                <w:sz w:val="21"/>
                <w:szCs w:val="21"/>
                <w:highlight w:val="none"/>
                <w:lang w:val="en-US" w:eastAsia="zh-CN" w:bidi="ar"/>
              </w:rPr>
              <w:t>工作温度：-25～75℃</w:t>
            </w:r>
            <w:r>
              <w:rPr>
                <w:rStyle w:val="102"/>
                <w:rFonts w:hint="eastAsia" w:ascii="宋体" w:hAnsi="宋体" w:eastAsia="宋体" w:cs="宋体"/>
                <w:color w:val="auto"/>
                <w:sz w:val="21"/>
                <w:szCs w:val="21"/>
                <w:highlight w:val="none"/>
                <w:lang w:val="en-US" w:eastAsia="zh-CN" w:bidi="ar"/>
              </w:rPr>
              <w:br w:type="textWrapping"/>
            </w:r>
            <w:r>
              <w:rPr>
                <w:rStyle w:val="102"/>
                <w:rFonts w:hint="eastAsia" w:ascii="宋体" w:hAnsi="宋体" w:eastAsia="宋体" w:cs="宋体"/>
                <w:color w:val="auto"/>
                <w:sz w:val="21"/>
                <w:szCs w:val="21"/>
                <w:highlight w:val="none"/>
                <w:lang w:val="en-US" w:eastAsia="zh-CN" w:bidi="ar"/>
              </w:rPr>
              <w:t>弯曲半径：10X O.D.(静置)、 20X O.D.( 动态)</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6200FA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米</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6B43BDC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3800</w:t>
            </w:r>
          </w:p>
        </w:tc>
      </w:tr>
      <w:tr w14:paraId="3E54A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2ABD973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353C87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光缆终端盒</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137344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24芯</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5F029B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1、规格：24芯LC接口光纤配线盒</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2、标准：ISO/IEC 11801:2002 Ed2.0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3、光纤盒采用优质外壳材质.抗压耐腐蚀</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06AA2F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6692290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w:t>
            </w:r>
          </w:p>
        </w:tc>
      </w:tr>
      <w:tr w14:paraId="30E66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11024FF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125C6C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配电箱</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673683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含电表、插座</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1A638A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含电表箱、电表、空开（按需）、接地端子、电源插座（机房侧）</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695393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147B6EA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w:t>
            </w:r>
          </w:p>
        </w:tc>
      </w:tr>
      <w:tr w14:paraId="7ACAE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21A47E7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37727D5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电源配套电源线</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399E81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ZA-RVV 2×10</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6CE54A0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1×10mm2</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0F1A176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米</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22662CA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380</w:t>
            </w:r>
          </w:p>
        </w:tc>
      </w:tr>
      <w:tr w14:paraId="49D66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19CB48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34766A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电源配套电源线</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397E1A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ZA-RVV 1×16（黄绿线）</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55B6EEF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1×16mm2（黄绿）</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768B0F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米</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773873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190</w:t>
            </w:r>
          </w:p>
        </w:tc>
      </w:tr>
      <w:tr w14:paraId="1DCD4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655580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1BC187F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电源配套电源线</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3D17F1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ZA-RVV 1×25（黄绿）</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7356CB4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1×25mm2（黄绿）</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4900BC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米</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202235F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190</w:t>
            </w:r>
          </w:p>
        </w:tc>
      </w:tr>
      <w:tr w14:paraId="3ED4B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5696EDB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21EFAF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馈线配件</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52EBA1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1/2"N型公头</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3BFDCA6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1.特性：普通</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2.转换器：1/2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3.连接线：馈线接头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4.插入损耗：≤0.3dB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5.电压驻波比690MHz-5800MHz频段，直头≤1.2，弯头≤1.25。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6.耐电强度：连接器及1／2＂跳线：2000V(Ac)/1min无击穿、无闪络。</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601B84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4308649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9996</w:t>
            </w:r>
          </w:p>
        </w:tc>
      </w:tr>
      <w:tr w14:paraId="43410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3CAB3B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602EDC9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馈线配件</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521D6A8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7/8"N型公头</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670D46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1.特性：普通</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2.转换器：7/8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3.连接线：馈线接头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4.插入损耗：≤0.2dB</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5.电压驻波比690MHz-5800MHz频段，直头≤1.2，弯头≤1.25。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6.耐电强度：连接器及7／8＂跳线：2500V(Ac)/1min无击穿、无闪络。</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01B334C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21CDCC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64</w:t>
            </w:r>
          </w:p>
        </w:tc>
      </w:tr>
      <w:tr w14:paraId="7B462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539ACF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0AB2D43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馈线配件</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7571408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N-JJ</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637702E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N型内螺纹公转公 (N-JJ)</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45ACDB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6FCD2E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450</w:t>
            </w:r>
          </w:p>
        </w:tc>
      </w:tr>
      <w:tr w14:paraId="1B283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5B80FD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4E510EB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馈线配件</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1090F02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N型公头转N型母头（弯式）N-JKW</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109BCAC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1.N型内螺纹公转外螺纹母转弯连接头(N-JKW)</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2.尺寸：1/2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3.工作频率：690-5800MHZ</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4.接口类型：N</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5.插入损耗：0.2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6.耐电强调：2000V(Ac)/1min无击穿、无闪络。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7.电压驻波比：690MHz-5800MHz频段：≤1.4</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13E324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32FFA4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2200</w:t>
            </w:r>
          </w:p>
        </w:tc>
      </w:tr>
      <w:tr w14:paraId="38804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187C656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24D34DA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馈线配件</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56635F4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N-KK</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6833CE2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N型外螺纹母转母 (N-KK)</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43FA07B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76AC8FB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r>
      <w:tr w14:paraId="37C29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1EF021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50F0D96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尾纤FC/FC(熔纤用)</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0BC466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1m</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78B8F5A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FC/FC(熔纤用)</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6657338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4BD89AC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228</w:t>
            </w:r>
          </w:p>
        </w:tc>
      </w:tr>
      <w:tr w14:paraId="5A519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24C502C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7CF6D41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分布室内接地排</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0B81E26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100*30</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31AF38F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100*30</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247064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块</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227370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w:t>
            </w:r>
          </w:p>
        </w:tc>
      </w:tr>
      <w:tr w14:paraId="44BF7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3137691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6892B82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铜鼻子</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1CE82A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Ф16</w:t>
            </w:r>
          </w:p>
        </w:tc>
        <w:tc>
          <w:tcPr>
            <w:tcW w:w="2672" w:type="pct"/>
            <w:tcBorders>
              <w:top w:val="single" w:color="000000" w:sz="4" w:space="0"/>
              <w:left w:val="single" w:color="000000" w:sz="4" w:space="0"/>
              <w:bottom w:val="single" w:color="000000" w:sz="4" w:space="0"/>
              <w:right w:val="single" w:color="000000" w:sz="4" w:space="0"/>
            </w:tcBorders>
            <w:noWrap w:val="0"/>
            <w:vAlign w:val="center"/>
          </w:tcPr>
          <w:p w14:paraId="7E92D8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Ф16</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2E9196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269299C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190</w:t>
            </w:r>
          </w:p>
        </w:tc>
      </w:tr>
      <w:tr w14:paraId="19211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785405C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6DD385B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铜鼻子</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48CBB8B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Ф25</w:t>
            </w:r>
          </w:p>
        </w:tc>
        <w:tc>
          <w:tcPr>
            <w:tcW w:w="2672" w:type="pct"/>
            <w:tcBorders>
              <w:top w:val="single" w:color="000000" w:sz="4" w:space="0"/>
              <w:left w:val="single" w:color="000000" w:sz="4" w:space="0"/>
              <w:bottom w:val="single" w:color="000000" w:sz="4" w:space="0"/>
              <w:right w:val="single" w:color="000000" w:sz="4" w:space="0"/>
            </w:tcBorders>
            <w:noWrap w:val="0"/>
            <w:vAlign w:val="center"/>
          </w:tcPr>
          <w:p w14:paraId="6E8858E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Ф25</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6DD397A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4FCC2A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190</w:t>
            </w:r>
          </w:p>
        </w:tc>
      </w:tr>
      <w:tr w14:paraId="47C55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71E967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527A2D4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室内吸顶天线支架</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578061A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角铁</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2E3D40A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天线支架：角铁支架</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1F3425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3CF011B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2226</w:t>
            </w:r>
          </w:p>
        </w:tc>
      </w:tr>
      <w:tr w14:paraId="0CFD1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0E6558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72A891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室内壁挂天线支架</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7B28AC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扁铁</w:t>
            </w:r>
          </w:p>
        </w:tc>
        <w:tc>
          <w:tcPr>
            <w:tcW w:w="2672" w:type="pct"/>
            <w:tcBorders>
              <w:top w:val="single" w:color="000000" w:sz="4" w:space="0"/>
              <w:left w:val="single" w:color="000000" w:sz="4" w:space="0"/>
              <w:bottom w:val="single" w:color="000000" w:sz="4" w:space="0"/>
              <w:right w:val="single" w:color="000000" w:sz="4" w:space="0"/>
            </w:tcBorders>
            <w:noWrap w:val="0"/>
            <w:vAlign w:val="top"/>
          </w:tcPr>
          <w:p w14:paraId="7246D38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天线支架：扁铁支架</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2357178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3B0E32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410</w:t>
            </w:r>
          </w:p>
        </w:tc>
      </w:tr>
      <w:tr w14:paraId="1F42B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5153F93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4925A30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KBG管</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00BAC03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Ф25</w:t>
            </w:r>
          </w:p>
        </w:tc>
        <w:tc>
          <w:tcPr>
            <w:tcW w:w="2672" w:type="pct"/>
            <w:tcBorders>
              <w:top w:val="single" w:color="000000" w:sz="4" w:space="0"/>
              <w:left w:val="single" w:color="000000" w:sz="4" w:space="0"/>
              <w:bottom w:val="single" w:color="000000" w:sz="4" w:space="0"/>
              <w:right w:val="single" w:color="000000" w:sz="4" w:space="0"/>
            </w:tcBorders>
            <w:noWrap w:val="0"/>
            <w:vAlign w:val="center"/>
          </w:tcPr>
          <w:p w14:paraId="053A152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Ф25</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659679C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米</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7C9DA8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4000</w:t>
            </w:r>
          </w:p>
        </w:tc>
      </w:tr>
      <w:tr w14:paraId="79F17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50B79C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769AD1E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KBG管</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3C4113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Ф40</w:t>
            </w:r>
          </w:p>
        </w:tc>
        <w:tc>
          <w:tcPr>
            <w:tcW w:w="2672" w:type="pct"/>
            <w:tcBorders>
              <w:top w:val="single" w:color="000000" w:sz="4" w:space="0"/>
              <w:left w:val="single" w:color="000000" w:sz="4" w:space="0"/>
              <w:bottom w:val="single" w:color="000000" w:sz="4" w:space="0"/>
              <w:right w:val="single" w:color="000000" w:sz="4" w:space="0"/>
            </w:tcBorders>
            <w:noWrap w:val="0"/>
            <w:vAlign w:val="center"/>
          </w:tcPr>
          <w:p w14:paraId="7C0B12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Ф40</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1CFC4C3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米</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4BA495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w:t>
            </w:r>
          </w:p>
        </w:tc>
      </w:tr>
      <w:tr w14:paraId="2C857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2FA1CC5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12520BB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金属软管</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180771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Ф25</w:t>
            </w:r>
          </w:p>
        </w:tc>
        <w:tc>
          <w:tcPr>
            <w:tcW w:w="2672" w:type="pct"/>
            <w:tcBorders>
              <w:top w:val="single" w:color="000000" w:sz="4" w:space="0"/>
              <w:left w:val="single" w:color="000000" w:sz="4" w:space="0"/>
              <w:bottom w:val="single" w:color="000000" w:sz="4" w:space="0"/>
              <w:right w:val="single" w:color="000000" w:sz="4" w:space="0"/>
            </w:tcBorders>
            <w:noWrap w:val="0"/>
            <w:vAlign w:val="center"/>
          </w:tcPr>
          <w:p w14:paraId="64F0332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Ф25</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521E105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米</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5F676A8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w:t>
            </w:r>
          </w:p>
        </w:tc>
      </w:tr>
      <w:tr w14:paraId="6B7D2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03DAF63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23D9389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金属软管</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19CCE4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Ф40</w:t>
            </w:r>
          </w:p>
        </w:tc>
        <w:tc>
          <w:tcPr>
            <w:tcW w:w="2672" w:type="pct"/>
            <w:tcBorders>
              <w:top w:val="single" w:color="000000" w:sz="4" w:space="0"/>
              <w:left w:val="single" w:color="000000" w:sz="4" w:space="0"/>
              <w:bottom w:val="single" w:color="000000" w:sz="4" w:space="0"/>
              <w:right w:val="single" w:color="000000" w:sz="4" w:space="0"/>
            </w:tcBorders>
            <w:noWrap w:val="0"/>
            <w:vAlign w:val="center"/>
          </w:tcPr>
          <w:p w14:paraId="0B6D62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Ф40</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5647BAC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米</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74D7845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r>
      <w:tr w14:paraId="6F133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0040D5B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236E14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KBG管接头</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574A357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Ф25</w:t>
            </w:r>
          </w:p>
        </w:tc>
        <w:tc>
          <w:tcPr>
            <w:tcW w:w="2672" w:type="pct"/>
            <w:tcBorders>
              <w:top w:val="single" w:color="000000" w:sz="4" w:space="0"/>
              <w:left w:val="single" w:color="000000" w:sz="4" w:space="0"/>
              <w:bottom w:val="single" w:color="000000" w:sz="4" w:space="0"/>
              <w:right w:val="single" w:color="000000" w:sz="4" w:space="0"/>
            </w:tcBorders>
            <w:noWrap w:val="0"/>
            <w:vAlign w:val="center"/>
          </w:tcPr>
          <w:p w14:paraId="34AD68F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Ф25</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62CE15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6F2B1E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1200</w:t>
            </w:r>
          </w:p>
        </w:tc>
      </w:tr>
      <w:tr w14:paraId="60C1B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758DC39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63E02E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KBG管接头</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5F9BD6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Ф40</w:t>
            </w:r>
          </w:p>
        </w:tc>
        <w:tc>
          <w:tcPr>
            <w:tcW w:w="2672" w:type="pct"/>
            <w:tcBorders>
              <w:top w:val="single" w:color="000000" w:sz="4" w:space="0"/>
              <w:left w:val="single" w:color="000000" w:sz="4" w:space="0"/>
              <w:bottom w:val="single" w:color="000000" w:sz="4" w:space="0"/>
              <w:right w:val="single" w:color="000000" w:sz="4" w:space="0"/>
            </w:tcBorders>
            <w:noWrap w:val="0"/>
            <w:vAlign w:val="center"/>
          </w:tcPr>
          <w:p w14:paraId="3C592A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Ф40</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6665A45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2E9044F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r>
      <w:tr w14:paraId="1FB98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7FB61C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791A3B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光缆测试</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3DE157D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24芯</w:t>
            </w:r>
          </w:p>
        </w:tc>
        <w:tc>
          <w:tcPr>
            <w:tcW w:w="2672" w:type="pct"/>
            <w:tcBorders>
              <w:top w:val="single" w:color="000000" w:sz="4" w:space="0"/>
              <w:left w:val="single" w:color="000000" w:sz="4" w:space="0"/>
              <w:bottom w:val="single" w:color="000000" w:sz="4" w:space="0"/>
              <w:right w:val="single" w:color="000000" w:sz="4" w:space="0"/>
            </w:tcBorders>
            <w:noWrap w:val="0"/>
            <w:vAlign w:val="center"/>
          </w:tcPr>
          <w:p w14:paraId="15F28E0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312" w:lineRule="auto"/>
              <w:ind w:left="0" w:right="0"/>
              <w:jc w:val="left"/>
              <w:rPr>
                <w:rFonts w:hint="eastAsia" w:ascii="宋体" w:hAnsi="宋体" w:eastAsia="宋体" w:cs="宋体"/>
                <w:i w:val="0"/>
                <w:iCs w:val="0"/>
                <w:color w:val="auto"/>
                <w:sz w:val="21"/>
                <w:szCs w:val="21"/>
                <w:highlight w:val="none"/>
                <w:u w:val="none"/>
              </w:rPr>
            </w:pP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1521EA8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段</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093EB93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w:t>
            </w:r>
          </w:p>
        </w:tc>
      </w:tr>
      <w:tr w14:paraId="16A0C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5D26B11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30820CB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光缆布放</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2A9A6D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24芯</w:t>
            </w:r>
          </w:p>
        </w:tc>
        <w:tc>
          <w:tcPr>
            <w:tcW w:w="2672" w:type="pct"/>
            <w:tcBorders>
              <w:top w:val="single" w:color="000000" w:sz="4" w:space="0"/>
              <w:left w:val="single" w:color="000000" w:sz="4" w:space="0"/>
              <w:bottom w:val="single" w:color="000000" w:sz="4" w:space="0"/>
              <w:right w:val="single" w:color="000000" w:sz="4" w:space="0"/>
            </w:tcBorders>
            <w:noWrap w:val="0"/>
            <w:vAlign w:val="center"/>
          </w:tcPr>
          <w:p w14:paraId="0235252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312" w:lineRule="auto"/>
              <w:ind w:left="0" w:right="0"/>
              <w:jc w:val="left"/>
              <w:rPr>
                <w:rFonts w:hint="eastAsia" w:ascii="宋体" w:hAnsi="宋体" w:eastAsia="宋体" w:cs="宋体"/>
                <w:i w:val="0"/>
                <w:iCs w:val="0"/>
                <w:color w:val="auto"/>
                <w:sz w:val="21"/>
                <w:szCs w:val="21"/>
                <w:highlight w:val="none"/>
                <w:u w:val="none"/>
              </w:rPr>
            </w:pP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711C30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米</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4D45DA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3800</w:t>
            </w:r>
          </w:p>
        </w:tc>
      </w:tr>
      <w:tr w14:paraId="648AA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31570D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6B3F57E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室内天线安装</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7BFE4CE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312" w:lineRule="auto"/>
              <w:ind w:left="0" w:right="0"/>
              <w:jc w:val="center"/>
              <w:rPr>
                <w:rFonts w:hint="eastAsia" w:ascii="宋体" w:hAnsi="宋体" w:eastAsia="宋体" w:cs="宋体"/>
                <w:i w:val="0"/>
                <w:iCs w:val="0"/>
                <w:color w:val="auto"/>
                <w:sz w:val="21"/>
                <w:szCs w:val="21"/>
                <w:highlight w:val="none"/>
                <w:u w:val="none"/>
              </w:rPr>
            </w:pPr>
          </w:p>
        </w:tc>
        <w:tc>
          <w:tcPr>
            <w:tcW w:w="2672" w:type="pct"/>
            <w:tcBorders>
              <w:top w:val="single" w:color="000000" w:sz="4" w:space="0"/>
              <w:left w:val="single" w:color="000000" w:sz="4" w:space="0"/>
              <w:bottom w:val="single" w:color="000000" w:sz="4" w:space="0"/>
              <w:right w:val="single" w:color="000000" w:sz="4" w:space="0"/>
            </w:tcBorders>
            <w:noWrap w:val="0"/>
            <w:vAlign w:val="center"/>
          </w:tcPr>
          <w:p w14:paraId="5D27428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312" w:lineRule="auto"/>
              <w:ind w:left="0" w:right="0"/>
              <w:jc w:val="left"/>
              <w:rPr>
                <w:rFonts w:hint="eastAsia" w:ascii="宋体" w:hAnsi="宋体" w:eastAsia="宋体" w:cs="宋体"/>
                <w:i w:val="0"/>
                <w:iCs w:val="0"/>
                <w:color w:val="auto"/>
                <w:sz w:val="21"/>
                <w:szCs w:val="21"/>
                <w:highlight w:val="none"/>
                <w:u w:val="none"/>
              </w:rPr>
            </w:pP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7047193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副</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457E223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2636</w:t>
            </w:r>
          </w:p>
        </w:tc>
      </w:tr>
      <w:tr w14:paraId="2D2D2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19A340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5A48FA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馈线布放</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4C61DDE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312" w:lineRule="auto"/>
              <w:ind w:left="0" w:right="0"/>
              <w:jc w:val="center"/>
              <w:rPr>
                <w:rFonts w:hint="eastAsia" w:ascii="宋体" w:hAnsi="宋体" w:eastAsia="宋体" w:cs="宋体"/>
                <w:i w:val="0"/>
                <w:iCs w:val="0"/>
                <w:color w:val="auto"/>
                <w:sz w:val="21"/>
                <w:szCs w:val="21"/>
                <w:highlight w:val="none"/>
                <w:u w:val="none"/>
              </w:rPr>
            </w:pPr>
          </w:p>
        </w:tc>
        <w:tc>
          <w:tcPr>
            <w:tcW w:w="2672" w:type="pct"/>
            <w:tcBorders>
              <w:top w:val="single" w:color="000000" w:sz="4" w:space="0"/>
              <w:left w:val="single" w:color="000000" w:sz="4" w:space="0"/>
              <w:bottom w:val="single" w:color="000000" w:sz="4" w:space="0"/>
              <w:right w:val="single" w:color="000000" w:sz="4" w:space="0"/>
            </w:tcBorders>
            <w:noWrap w:val="0"/>
            <w:vAlign w:val="center"/>
          </w:tcPr>
          <w:p w14:paraId="546BF3E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312" w:lineRule="auto"/>
              <w:ind w:left="0" w:right="0"/>
              <w:jc w:val="left"/>
              <w:rPr>
                <w:rFonts w:hint="eastAsia" w:ascii="宋体" w:hAnsi="宋体" w:eastAsia="宋体" w:cs="宋体"/>
                <w:i w:val="0"/>
                <w:iCs w:val="0"/>
                <w:color w:val="auto"/>
                <w:sz w:val="21"/>
                <w:szCs w:val="21"/>
                <w:highlight w:val="none"/>
                <w:u w:val="none"/>
              </w:rPr>
            </w:pP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052D6A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米</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38AE9D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27348</w:t>
            </w:r>
          </w:p>
        </w:tc>
      </w:tr>
      <w:tr w14:paraId="21E38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371A22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2C7591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室内分布式天、馈线系统调测</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525EE5C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312" w:lineRule="auto"/>
              <w:ind w:left="0" w:right="0"/>
              <w:jc w:val="center"/>
              <w:rPr>
                <w:rFonts w:hint="eastAsia" w:ascii="宋体" w:hAnsi="宋体" w:eastAsia="宋体" w:cs="宋体"/>
                <w:i w:val="0"/>
                <w:iCs w:val="0"/>
                <w:color w:val="auto"/>
                <w:sz w:val="21"/>
                <w:szCs w:val="21"/>
                <w:highlight w:val="none"/>
                <w:u w:val="none"/>
              </w:rPr>
            </w:pPr>
          </w:p>
        </w:tc>
        <w:tc>
          <w:tcPr>
            <w:tcW w:w="2672" w:type="pct"/>
            <w:tcBorders>
              <w:top w:val="single" w:color="000000" w:sz="4" w:space="0"/>
              <w:left w:val="single" w:color="000000" w:sz="4" w:space="0"/>
              <w:bottom w:val="single" w:color="000000" w:sz="4" w:space="0"/>
              <w:right w:val="single" w:color="000000" w:sz="4" w:space="0"/>
            </w:tcBorders>
            <w:noWrap w:val="0"/>
            <w:vAlign w:val="center"/>
          </w:tcPr>
          <w:p w14:paraId="2B71AAA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312" w:lineRule="auto"/>
              <w:ind w:left="0" w:right="0"/>
              <w:jc w:val="left"/>
              <w:rPr>
                <w:rFonts w:hint="eastAsia" w:ascii="宋体" w:hAnsi="宋体" w:eastAsia="宋体" w:cs="宋体"/>
                <w:i w:val="0"/>
                <w:iCs w:val="0"/>
                <w:color w:val="auto"/>
                <w:sz w:val="21"/>
                <w:szCs w:val="21"/>
                <w:highlight w:val="none"/>
                <w:u w:val="none"/>
              </w:rPr>
            </w:pP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14B9E7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条</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40F17A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5030</w:t>
            </w:r>
          </w:p>
        </w:tc>
      </w:tr>
      <w:tr w14:paraId="35414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4C2B09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3E90470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安装调测室内天、馈线附属设备(合路器、分路器(功分器、耦合器))（室内）</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686695E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安装调测室内天、馈线附属设备(合路器、分路器(功分器、耦合器))</w:t>
            </w:r>
          </w:p>
        </w:tc>
        <w:tc>
          <w:tcPr>
            <w:tcW w:w="2672" w:type="pct"/>
            <w:tcBorders>
              <w:top w:val="single" w:color="000000" w:sz="4" w:space="0"/>
              <w:left w:val="single" w:color="000000" w:sz="4" w:space="0"/>
              <w:bottom w:val="single" w:color="000000" w:sz="4" w:space="0"/>
              <w:right w:val="single" w:color="000000" w:sz="4" w:space="0"/>
            </w:tcBorders>
            <w:noWrap w:val="0"/>
            <w:vAlign w:val="center"/>
          </w:tcPr>
          <w:p w14:paraId="4E1600B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312" w:lineRule="auto"/>
              <w:ind w:left="0" w:right="0"/>
              <w:jc w:val="left"/>
              <w:rPr>
                <w:rFonts w:hint="eastAsia" w:ascii="宋体" w:hAnsi="宋体" w:eastAsia="宋体" w:cs="宋体"/>
                <w:i w:val="0"/>
                <w:iCs w:val="0"/>
                <w:color w:val="auto"/>
                <w:sz w:val="21"/>
                <w:szCs w:val="21"/>
                <w:highlight w:val="none"/>
                <w:u w:val="none"/>
              </w:rPr>
            </w:pP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4F09D8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35437C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2456</w:t>
            </w:r>
          </w:p>
        </w:tc>
      </w:tr>
      <w:tr w14:paraId="34F17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68B4817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3194A4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金属管敷设</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16E73A1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312" w:lineRule="auto"/>
              <w:ind w:left="0" w:right="0"/>
              <w:jc w:val="center"/>
              <w:rPr>
                <w:rFonts w:hint="eastAsia" w:ascii="宋体" w:hAnsi="宋体" w:eastAsia="宋体" w:cs="宋体"/>
                <w:i w:val="0"/>
                <w:iCs w:val="0"/>
                <w:color w:val="auto"/>
                <w:sz w:val="21"/>
                <w:szCs w:val="21"/>
                <w:highlight w:val="none"/>
                <w:u w:val="none"/>
              </w:rPr>
            </w:pPr>
          </w:p>
        </w:tc>
        <w:tc>
          <w:tcPr>
            <w:tcW w:w="2672" w:type="pct"/>
            <w:tcBorders>
              <w:top w:val="single" w:color="000000" w:sz="4" w:space="0"/>
              <w:left w:val="single" w:color="000000" w:sz="4" w:space="0"/>
              <w:bottom w:val="single" w:color="000000" w:sz="4" w:space="0"/>
              <w:right w:val="single" w:color="000000" w:sz="4" w:space="0"/>
            </w:tcBorders>
            <w:noWrap w:val="0"/>
            <w:vAlign w:val="center"/>
          </w:tcPr>
          <w:p w14:paraId="132B31E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312" w:lineRule="auto"/>
              <w:ind w:left="0" w:right="0"/>
              <w:jc w:val="left"/>
              <w:rPr>
                <w:rFonts w:hint="eastAsia" w:ascii="宋体" w:hAnsi="宋体" w:eastAsia="宋体" w:cs="宋体"/>
                <w:i w:val="0"/>
                <w:iCs w:val="0"/>
                <w:color w:val="auto"/>
                <w:sz w:val="21"/>
                <w:szCs w:val="21"/>
                <w:highlight w:val="none"/>
                <w:u w:val="none"/>
              </w:rPr>
            </w:pP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700F33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米</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499DE77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4200</w:t>
            </w:r>
          </w:p>
        </w:tc>
      </w:tr>
      <w:tr w14:paraId="77B95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70C1275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27696C4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安装电表箱</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19E8201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312" w:lineRule="auto"/>
              <w:ind w:left="0" w:right="0"/>
              <w:jc w:val="center"/>
              <w:rPr>
                <w:rFonts w:hint="eastAsia" w:ascii="宋体" w:hAnsi="宋体" w:eastAsia="宋体" w:cs="宋体"/>
                <w:i w:val="0"/>
                <w:iCs w:val="0"/>
                <w:color w:val="auto"/>
                <w:sz w:val="21"/>
                <w:szCs w:val="21"/>
                <w:highlight w:val="none"/>
                <w:u w:val="none"/>
              </w:rPr>
            </w:pPr>
          </w:p>
        </w:tc>
        <w:tc>
          <w:tcPr>
            <w:tcW w:w="2672" w:type="pct"/>
            <w:tcBorders>
              <w:top w:val="single" w:color="000000" w:sz="4" w:space="0"/>
              <w:left w:val="single" w:color="000000" w:sz="4" w:space="0"/>
              <w:bottom w:val="single" w:color="000000" w:sz="4" w:space="0"/>
              <w:right w:val="single" w:color="000000" w:sz="4" w:space="0"/>
            </w:tcBorders>
            <w:noWrap w:val="0"/>
            <w:vAlign w:val="center"/>
          </w:tcPr>
          <w:p w14:paraId="03EC4B1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312" w:lineRule="auto"/>
              <w:ind w:left="0" w:right="0"/>
              <w:jc w:val="left"/>
              <w:rPr>
                <w:rFonts w:hint="eastAsia" w:ascii="宋体" w:hAnsi="宋体" w:eastAsia="宋体" w:cs="宋体"/>
                <w:i w:val="0"/>
                <w:iCs w:val="0"/>
                <w:color w:val="auto"/>
                <w:sz w:val="21"/>
                <w:szCs w:val="21"/>
                <w:highlight w:val="none"/>
                <w:u w:val="none"/>
              </w:rPr>
            </w:pP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453AE3C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4D6F4D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w:t>
            </w:r>
          </w:p>
        </w:tc>
      </w:tr>
      <w:tr w14:paraId="7E182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1BF16F7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704AC2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配合基站系统调测（定向）</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102367C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2672" w:type="pct"/>
            <w:tcBorders>
              <w:top w:val="single" w:color="000000" w:sz="4" w:space="0"/>
              <w:left w:val="single" w:color="000000" w:sz="4" w:space="0"/>
              <w:bottom w:val="single" w:color="000000" w:sz="4" w:space="0"/>
              <w:right w:val="single" w:color="000000" w:sz="4" w:space="0"/>
            </w:tcBorders>
            <w:noWrap w:val="0"/>
            <w:vAlign w:val="center"/>
          </w:tcPr>
          <w:p w14:paraId="6C83903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312" w:lineRule="auto"/>
              <w:ind w:left="0" w:right="0"/>
              <w:jc w:val="left"/>
              <w:rPr>
                <w:rFonts w:hint="eastAsia" w:ascii="宋体" w:hAnsi="宋体" w:eastAsia="宋体" w:cs="宋体"/>
                <w:i w:val="0"/>
                <w:iCs w:val="0"/>
                <w:color w:val="auto"/>
                <w:sz w:val="21"/>
                <w:szCs w:val="21"/>
                <w:highlight w:val="none"/>
                <w:u w:val="none"/>
              </w:rPr>
            </w:pP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679FBF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扇区</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3406F9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r>
      <w:tr w14:paraId="63ABF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5EA5D1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4823CE6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配合联网调测</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390A22C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2672" w:type="pct"/>
            <w:tcBorders>
              <w:top w:val="single" w:color="000000" w:sz="4" w:space="0"/>
              <w:left w:val="single" w:color="000000" w:sz="4" w:space="0"/>
              <w:bottom w:val="single" w:color="000000" w:sz="4" w:space="0"/>
              <w:right w:val="single" w:color="000000" w:sz="4" w:space="0"/>
            </w:tcBorders>
            <w:noWrap w:val="0"/>
            <w:vAlign w:val="center"/>
          </w:tcPr>
          <w:p w14:paraId="7EC2ECF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312" w:lineRule="auto"/>
              <w:ind w:left="0" w:right="0"/>
              <w:jc w:val="left"/>
              <w:rPr>
                <w:rFonts w:hint="eastAsia" w:ascii="宋体" w:hAnsi="宋体" w:eastAsia="宋体" w:cs="宋体"/>
                <w:i w:val="0"/>
                <w:iCs w:val="0"/>
                <w:color w:val="auto"/>
                <w:sz w:val="21"/>
                <w:szCs w:val="21"/>
                <w:highlight w:val="none"/>
                <w:u w:val="none"/>
              </w:rPr>
            </w:pP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7FA1F5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站</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5E78A98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r>
      <w:tr w14:paraId="01AA9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7A108D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4A4E51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设备后续维护</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34D0832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2672" w:type="pct"/>
            <w:tcBorders>
              <w:top w:val="single" w:color="000000" w:sz="4" w:space="0"/>
              <w:left w:val="single" w:color="000000" w:sz="4" w:space="0"/>
              <w:bottom w:val="single" w:color="000000" w:sz="4" w:space="0"/>
              <w:right w:val="single" w:color="000000" w:sz="4" w:space="0"/>
            </w:tcBorders>
            <w:noWrap w:val="0"/>
            <w:vAlign w:val="center"/>
          </w:tcPr>
          <w:p w14:paraId="6DC78B8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312" w:lineRule="auto"/>
              <w:ind w:left="0" w:right="0"/>
              <w:jc w:val="left"/>
              <w:rPr>
                <w:rFonts w:hint="eastAsia" w:ascii="宋体" w:hAnsi="宋体" w:eastAsia="宋体" w:cs="宋体"/>
                <w:i w:val="0"/>
                <w:iCs w:val="0"/>
                <w:color w:val="auto"/>
                <w:sz w:val="21"/>
                <w:szCs w:val="21"/>
                <w:highlight w:val="none"/>
                <w:u w:val="none"/>
              </w:rPr>
            </w:pP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0EFFB41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项</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324C919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r>
      <w:tr w14:paraId="3947D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6" w:hRule="atLeast"/>
        </w:trPr>
        <w:tc>
          <w:tcPr>
            <w:tcW w:w="220" w:type="pct"/>
            <w:tcBorders>
              <w:top w:val="single" w:color="000000" w:sz="4" w:space="0"/>
              <w:left w:val="single" w:color="000000" w:sz="4" w:space="0"/>
              <w:bottom w:val="single" w:color="000000" w:sz="4" w:space="0"/>
              <w:right w:val="single" w:color="000000" w:sz="4" w:space="0"/>
            </w:tcBorders>
            <w:noWrap w:val="0"/>
            <w:vAlign w:val="center"/>
          </w:tcPr>
          <w:p w14:paraId="5E8933A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47</w:t>
            </w:r>
          </w:p>
        </w:tc>
        <w:tc>
          <w:tcPr>
            <w:tcW w:w="771" w:type="pct"/>
            <w:tcBorders>
              <w:top w:val="single" w:color="000000" w:sz="4" w:space="0"/>
              <w:left w:val="single" w:color="000000" w:sz="4" w:space="0"/>
              <w:bottom w:val="single" w:color="000000" w:sz="4" w:space="0"/>
              <w:right w:val="single" w:color="000000" w:sz="4" w:space="0"/>
            </w:tcBorders>
            <w:noWrap w:val="0"/>
            <w:vAlign w:val="center"/>
          </w:tcPr>
          <w:p w14:paraId="0E0E0A2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交换直模块</w:t>
            </w:r>
          </w:p>
        </w:tc>
        <w:tc>
          <w:tcPr>
            <w:tcW w:w="818" w:type="pct"/>
            <w:tcBorders>
              <w:top w:val="single" w:color="000000" w:sz="4" w:space="0"/>
              <w:left w:val="single" w:color="000000" w:sz="4" w:space="0"/>
              <w:bottom w:val="single" w:color="000000" w:sz="4" w:space="0"/>
              <w:right w:val="single" w:color="000000" w:sz="4" w:space="0"/>
            </w:tcBorders>
            <w:noWrap w:val="0"/>
            <w:vAlign w:val="center"/>
          </w:tcPr>
          <w:p w14:paraId="4EBCD4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48V</w:t>
            </w:r>
          </w:p>
        </w:tc>
        <w:tc>
          <w:tcPr>
            <w:tcW w:w="2672" w:type="pct"/>
            <w:tcBorders>
              <w:top w:val="single" w:color="000000" w:sz="4" w:space="0"/>
              <w:left w:val="single" w:color="000000" w:sz="4" w:space="0"/>
              <w:bottom w:val="single" w:color="000000" w:sz="4" w:space="0"/>
              <w:right w:val="single" w:color="000000" w:sz="4" w:space="0"/>
            </w:tcBorders>
            <w:noWrap w:val="0"/>
            <w:vAlign w:val="center"/>
          </w:tcPr>
          <w:p w14:paraId="2CF61D0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312" w:lineRule="auto"/>
              <w:ind w:left="0" w:right="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1.支持市直、高压直流两路兼容输入：交流/HVDC输入转换成-48Vdc输出， 为交直流场景提供可靠备电输入电压AC:85~300Vac；HVDC:85~400Vdc-48V输出电压48V。</w:t>
            </w:r>
          </w:p>
          <w:p w14:paraId="5261611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312" w:lineRule="auto"/>
              <w:ind w:left="0" w:right="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2.额定功率/容量≥1500W。</w:t>
            </w:r>
          </w:p>
          <w:p w14:paraId="78827FA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312" w:lineRule="auto"/>
              <w:ind w:left="0" w:right="0"/>
              <w:jc w:val="left"/>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3.保护功能：过压、欠压、过流、短路、过温自动保护。</w:t>
            </w:r>
          </w:p>
        </w:tc>
        <w:tc>
          <w:tcPr>
            <w:tcW w:w="221" w:type="pct"/>
            <w:tcBorders>
              <w:top w:val="single" w:color="000000" w:sz="4" w:space="0"/>
              <w:left w:val="single" w:color="000000" w:sz="4" w:space="0"/>
              <w:bottom w:val="single" w:color="000000" w:sz="4" w:space="0"/>
              <w:right w:val="single" w:color="000000" w:sz="4" w:space="0"/>
            </w:tcBorders>
            <w:noWrap w:val="0"/>
            <w:vAlign w:val="center"/>
          </w:tcPr>
          <w:p w14:paraId="6C1418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个</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69FBCD4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26</w:t>
            </w:r>
          </w:p>
        </w:tc>
      </w:tr>
    </w:tbl>
    <w:p w14:paraId="4B18A7C9">
      <w:pPr>
        <w:pageBreakBefore w:val="0"/>
        <w:numPr>
          <w:ilvl w:val="0"/>
          <w:numId w:val="0"/>
        </w:numPr>
        <w:kinsoku/>
        <w:wordWrap/>
        <w:overflowPunct/>
        <w:topLinePunct w:val="0"/>
        <w:bidi w:val="0"/>
        <w:snapToGrid w:val="0"/>
        <w:spacing w:line="312" w:lineRule="auto"/>
        <w:ind w:firstLine="330" w:firstLineChars="150"/>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2"/>
          <w:szCs w:val="22"/>
          <w:highlight w:val="none"/>
          <w:lang w:val="en-US" w:eastAsia="zh-CN"/>
        </w:rPr>
        <w:t>5、参考品牌清单：</w:t>
      </w:r>
    </w:p>
    <w:tbl>
      <w:tblPr>
        <w:tblStyle w:val="23"/>
        <w:tblW w:w="895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10"/>
        <w:gridCol w:w="2070"/>
        <w:gridCol w:w="6079"/>
      </w:tblGrid>
      <w:tr w14:paraId="4F798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10" w:type="dxa"/>
            <w:tcBorders>
              <w:top w:val="single" w:color="000000" w:sz="4" w:space="0"/>
              <w:left w:val="single" w:color="000000" w:sz="4" w:space="0"/>
              <w:bottom w:val="single" w:color="000000" w:sz="4" w:space="0"/>
              <w:right w:val="single" w:color="000000" w:sz="4" w:space="0"/>
            </w:tcBorders>
            <w:noWrap/>
            <w:vAlign w:val="top"/>
          </w:tcPr>
          <w:p w14:paraId="173B44B6">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序号</w:t>
            </w:r>
          </w:p>
        </w:tc>
        <w:tc>
          <w:tcPr>
            <w:tcW w:w="2070" w:type="dxa"/>
            <w:tcBorders>
              <w:top w:val="single" w:color="000000" w:sz="4" w:space="0"/>
              <w:left w:val="single" w:color="000000" w:sz="4" w:space="0"/>
              <w:bottom w:val="single" w:color="000000" w:sz="4" w:space="0"/>
              <w:right w:val="single" w:color="000000" w:sz="4" w:space="0"/>
            </w:tcBorders>
            <w:noWrap w:val="0"/>
            <w:vAlign w:val="top"/>
          </w:tcPr>
          <w:p w14:paraId="35A8A2FB">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项目类别</w:t>
            </w:r>
          </w:p>
        </w:tc>
        <w:tc>
          <w:tcPr>
            <w:tcW w:w="6079" w:type="dxa"/>
            <w:tcBorders>
              <w:top w:val="single" w:color="000000" w:sz="4" w:space="0"/>
              <w:left w:val="single" w:color="000000" w:sz="4" w:space="0"/>
              <w:bottom w:val="single" w:color="000000" w:sz="4" w:space="0"/>
              <w:right w:val="single" w:color="000000" w:sz="4" w:space="0"/>
            </w:tcBorders>
            <w:noWrap w:val="0"/>
            <w:vAlign w:val="top"/>
          </w:tcPr>
          <w:p w14:paraId="695E26BA">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0" w:beforeAutospacing="0" w:after="0" w:afterAutospacing="0" w:line="300" w:lineRule="auto"/>
              <w:ind w:left="0" w:right="0"/>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eastAsia="zh-CN"/>
              </w:rPr>
              <w:t>参考</w:t>
            </w:r>
            <w:r>
              <w:rPr>
                <w:rFonts w:hint="eastAsia" w:ascii="宋体" w:hAnsi="宋体" w:eastAsia="宋体" w:cs="宋体"/>
                <w:b w:val="0"/>
                <w:bCs w:val="0"/>
                <w:color w:val="auto"/>
                <w:sz w:val="21"/>
                <w:szCs w:val="21"/>
                <w:highlight w:val="none"/>
              </w:rPr>
              <w:t>品牌</w:t>
            </w:r>
          </w:p>
        </w:tc>
      </w:tr>
      <w:tr w14:paraId="66219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14:paraId="095DE0A9">
            <w:pPr>
              <w:keepNext w:val="0"/>
              <w:keepLines w:val="0"/>
              <w:pageBreakBefore w:val="0"/>
              <w:widowControl/>
              <w:suppressLineNumbers w:val="0"/>
              <w:shd w:val="clear" w:color="auto" w:fill="auto"/>
              <w:kinsoku/>
              <w:wordWrap/>
              <w:overflowPunct/>
              <w:topLinePunct w:val="0"/>
              <w:bidi w:val="0"/>
              <w:snapToGrid w:val="0"/>
              <w:spacing w:before="0" w:beforeAutospacing="0" w:after="0" w:afterAutospacing="0" w:line="300" w:lineRule="auto"/>
              <w:ind w:left="0" w:right="0"/>
              <w:jc w:val="center"/>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1</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5E93394D">
            <w:pPr>
              <w:keepNext w:val="0"/>
              <w:keepLines w:val="0"/>
              <w:pageBreakBefore w:val="0"/>
              <w:widowControl/>
              <w:suppressLineNumbers w:val="0"/>
              <w:shd w:val="clear" w:color="auto" w:fill="auto"/>
              <w:kinsoku/>
              <w:wordWrap/>
              <w:overflowPunct/>
              <w:topLinePunct w:val="0"/>
              <w:bidi w:val="0"/>
              <w:snapToGrid w:val="0"/>
              <w:spacing w:before="0" w:beforeAutospacing="0" w:after="0" w:afterAutospacing="0" w:line="300" w:lineRule="auto"/>
              <w:ind w:left="0" w:right="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sz w:val="21"/>
                <w:szCs w:val="21"/>
                <w:highlight w:val="none"/>
                <w:u w:val="none"/>
                <w:lang w:val="en-US" w:eastAsia="zh-CN"/>
              </w:rPr>
              <w:t>无源器件-耦合器</w:t>
            </w:r>
          </w:p>
        </w:tc>
        <w:tc>
          <w:tcPr>
            <w:tcW w:w="6079" w:type="dxa"/>
            <w:tcBorders>
              <w:top w:val="single" w:color="000000" w:sz="4" w:space="0"/>
              <w:left w:val="single" w:color="000000" w:sz="4" w:space="0"/>
              <w:bottom w:val="single" w:color="000000" w:sz="4" w:space="0"/>
              <w:right w:val="single" w:color="000000" w:sz="4" w:space="0"/>
            </w:tcBorders>
            <w:noWrap w:val="0"/>
            <w:vAlign w:val="center"/>
          </w:tcPr>
          <w:p w14:paraId="1FC6DD6A">
            <w:pPr>
              <w:keepNext w:val="0"/>
              <w:keepLines w:val="0"/>
              <w:pageBreakBefore w:val="0"/>
              <w:widowControl/>
              <w:suppressLineNumbers w:val="0"/>
              <w:shd w:val="clear" w:color="auto" w:fill="auto"/>
              <w:kinsoku/>
              <w:wordWrap/>
              <w:overflowPunct/>
              <w:topLinePunct w:val="0"/>
              <w:bidi w:val="0"/>
              <w:snapToGrid w:val="0"/>
              <w:spacing w:before="0" w:beforeAutospacing="0" w:after="0" w:afterAutospacing="0" w:line="300" w:lineRule="auto"/>
              <w:ind w:left="0" w:right="0"/>
              <w:jc w:val="center"/>
              <w:textAlignment w:val="center"/>
              <w:rPr>
                <w:rFonts w:hint="eastAsia"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三维、中邮科、中兴、京信、国人</w:t>
            </w:r>
            <w:r>
              <w:rPr>
                <w:rFonts w:hint="eastAsia" w:ascii="宋体" w:hAnsi="宋体" w:eastAsia="宋体" w:cs="宋体"/>
                <w:b w:val="0"/>
                <w:bCs w:val="0"/>
                <w:color w:val="auto"/>
                <w:sz w:val="21"/>
                <w:szCs w:val="21"/>
                <w:highlight w:val="none"/>
                <w:lang w:val="en-US" w:eastAsia="zh-CN"/>
              </w:rPr>
              <w:t>或同档次及以上</w:t>
            </w:r>
          </w:p>
        </w:tc>
      </w:tr>
      <w:tr w14:paraId="5BD8A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14:paraId="2CCC5C31">
            <w:pPr>
              <w:keepNext w:val="0"/>
              <w:keepLines w:val="0"/>
              <w:pageBreakBefore w:val="0"/>
              <w:widowControl/>
              <w:suppressLineNumbers w:val="0"/>
              <w:shd w:val="clear" w:color="auto" w:fill="auto"/>
              <w:kinsoku/>
              <w:wordWrap/>
              <w:overflowPunct/>
              <w:topLinePunct w:val="0"/>
              <w:bidi w:val="0"/>
              <w:snapToGrid w:val="0"/>
              <w:spacing w:before="0" w:beforeAutospacing="0" w:after="0" w:afterAutospacing="0" w:line="300" w:lineRule="auto"/>
              <w:ind w:left="0" w:right="0"/>
              <w:jc w:val="center"/>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2</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6417E4A9">
            <w:pPr>
              <w:keepNext w:val="0"/>
              <w:keepLines w:val="0"/>
              <w:pageBreakBefore w:val="0"/>
              <w:widowControl/>
              <w:suppressLineNumbers w:val="0"/>
              <w:shd w:val="clear" w:color="auto" w:fill="auto"/>
              <w:kinsoku/>
              <w:wordWrap/>
              <w:overflowPunct/>
              <w:topLinePunct w:val="0"/>
              <w:bidi w:val="0"/>
              <w:snapToGrid w:val="0"/>
              <w:spacing w:before="0" w:beforeAutospacing="0" w:after="0" w:afterAutospacing="0" w:line="300" w:lineRule="auto"/>
              <w:ind w:left="0" w:right="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sz w:val="21"/>
                <w:szCs w:val="21"/>
                <w:highlight w:val="none"/>
                <w:u w:val="none"/>
                <w:lang w:val="en-US" w:eastAsia="zh-CN"/>
              </w:rPr>
              <w:t>室内天线</w:t>
            </w:r>
          </w:p>
        </w:tc>
        <w:tc>
          <w:tcPr>
            <w:tcW w:w="6079" w:type="dxa"/>
            <w:tcBorders>
              <w:top w:val="single" w:color="000000" w:sz="4" w:space="0"/>
              <w:left w:val="single" w:color="000000" w:sz="4" w:space="0"/>
              <w:bottom w:val="single" w:color="000000" w:sz="4" w:space="0"/>
              <w:right w:val="single" w:color="000000" w:sz="4" w:space="0"/>
            </w:tcBorders>
            <w:noWrap w:val="0"/>
            <w:vAlign w:val="center"/>
          </w:tcPr>
          <w:p w14:paraId="0538D0D3">
            <w:pPr>
              <w:keepNext w:val="0"/>
              <w:keepLines w:val="0"/>
              <w:pageBreakBefore w:val="0"/>
              <w:widowControl/>
              <w:suppressLineNumbers w:val="0"/>
              <w:shd w:val="clear" w:color="auto" w:fill="auto"/>
              <w:kinsoku/>
              <w:wordWrap/>
              <w:overflowPunct/>
              <w:topLinePunct w:val="0"/>
              <w:bidi w:val="0"/>
              <w:snapToGrid w:val="0"/>
              <w:spacing w:before="0" w:beforeAutospacing="0" w:after="0" w:afterAutospacing="0" w:line="300" w:lineRule="auto"/>
              <w:ind w:left="0" w:right="0"/>
              <w:jc w:val="center"/>
              <w:textAlignment w:val="center"/>
              <w:rPr>
                <w:rFonts w:hint="eastAsia"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中天、中邮科、三维、京信、国人</w:t>
            </w:r>
            <w:r>
              <w:rPr>
                <w:rFonts w:hint="eastAsia" w:ascii="宋体" w:hAnsi="宋体" w:eastAsia="宋体" w:cs="宋体"/>
                <w:b w:val="0"/>
                <w:bCs w:val="0"/>
                <w:color w:val="auto"/>
                <w:sz w:val="21"/>
                <w:szCs w:val="21"/>
                <w:highlight w:val="none"/>
                <w:lang w:val="en-US" w:eastAsia="zh-CN"/>
              </w:rPr>
              <w:t>或同档次及以上</w:t>
            </w:r>
          </w:p>
        </w:tc>
      </w:tr>
      <w:tr w14:paraId="4A75E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14:paraId="01F9E718">
            <w:pPr>
              <w:keepNext w:val="0"/>
              <w:keepLines w:val="0"/>
              <w:pageBreakBefore w:val="0"/>
              <w:widowControl/>
              <w:suppressLineNumbers w:val="0"/>
              <w:shd w:val="clear" w:color="auto" w:fill="auto"/>
              <w:kinsoku/>
              <w:wordWrap/>
              <w:overflowPunct/>
              <w:topLinePunct w:val="0"/>
              <w:bidi w:val="0"/>
              <w:snapToGrid w:val="0"/>
              <w:spacing w:before="0" w:beforeAutospacing="0" w:after="0" w:afterAutospacing="0" w:line="300" w:lineRule="auto"/>
              <w:ind w:left="0" w:right="0"/>
              <w:jc w:val="center"/>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3</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1DE78045">
            <w:pPr>
              <w:keepNext w:val="0"/>
              <w:keepLines w:val="0"/>
              <w:pageBreakBefore w:val="0"/>
              <w:widowControl/>
              <w:suppressLineNumbers w:val="0"/>
              <w:shd w:val="clear" w:color="auto" w:fill="auto"/>
              <w:kinsoku/>
              <w:wordWrap/>
              <w:overflowPunct/>
              <w:topLinePunct w:val="0"/>
              <w:bidi w:val="0"/>
              <w:snapToGrid w:val="0"/>
              <w:spacing w:before="0" w:beforeAutospacing="0" w:after="0" w:afterAutospacing="0" w:line="300" w:lineRule="auto"/>
              <w:ind w:left="0" w:right="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sz w:val="21"/>
                <w:szCs w:val="21"/>
                <w:highlight w:val="none"/>
                <w:u w:val="none"/>
                <w:lang w:val="en-US" w:eastAsia="zh-CN"/>
              </w:rPr>
              <w:t>馈线</w:t>
            </w:r>
          </w:p>
        </w:tc>
        <w:tc>
          <w:tcPr>
            <w:tcW w:w="6079" w:type="dxa"/>
            <w:tcBorders>
              <w:top w:val="single" w:color="000000" w:sz="4" w:space="0"/>
              <w:left w:val="single" w:color="000000" w:sz="4" w:space="0"/>
              <w:bottom w:val="single" w:color="000000" w:sz="4" w:space="0"/>
              <w:right w:val="single" w:color="000000" w:sz="4" w:space="0"/>
            </w:tcBorders>
            <w:noWrap w:val="0"/>
            <w:vAlign w:val="center"/>
          </w:tcPr>
          <w:p w14:paraId="36E931D8">
            <w:pPr>
              <w:keepNext w:val="0"/>
              <w:keepLines w:val="0"/>
              <w:pageBreakBefore w:val="0"/>
              <w:widowControl/>
              <w:suppressLineNumbers w:val="0"/>
              <w:shd w:val="clear" w:color="auto" w:fill="auto"/>
              <w:kinsoku/>
              <w:wordWrap/>
              <w:overflowPunct/>
              <w:topLinePunct w:val="0"/>
              <w:bidi w:val="0"/>
              <w:snapToGrid w:val="0"/>
              <w:spacing w:before="0" w:beforeAutospacing="0" w:after="0" w:afterAutospacing="0" w:line="300" w:lineRule="auto"/>
              <w:ind w:left="0" w:right="0"/>
              <w:jc w:val="center"/>
              <w:textAlignment w:val="center"/>
              <w:rPr>
                <w:rFonts w:hint="eastAsia"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亨鑫、通鼎、中天、摩光通讯、联杰科技</w:t>
            </w:r>
            <w:r>
              <w:rPr>
                <w:rFonts w:hint="eastAsia" w:ascii="宋体" w:hAnsi="宋体" w:eastAsia="宋体" w:cs="宋体"/>
                <w:b w:val="0"/>
                <w:bCs w:val="0"/>
                <w:color w:val="auto"/>
                <w:sz w:val="21"/>
                <w:szCs w:val="21"/>
                <w:highlight w:val="none"/>
                <w:lang w:val="en-US" w:eastAsia="zh-CN"/>
              </w:rPr>
              <w:t>或同档次及以上</w:t>
            </w:r>
          </w:p>
        </w:tc>
      </w:tr>
      <w:tr w14:paraId="5E998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14:paraId="31D6A514">
            <w:pPr>
              <w:keepNext w:val="0"/>
              <w:keepLines w:val="0"/>
              <w:pageBreakBefore w:val="0"/>
              <w:widowControl/>
              <w:suppressLineNumbers w:val="0"/>
              <w:shd w:val="clear" w:color="auto" w:fill="auto"/>
              <w:kinsoku/>
              <w:wordWrap/>
              <w:overflowPunct/>
              <w:topLinePunct w:val="0"/>
              <w:bidi w:val="0"/>
              <w:snapToGrid w:val="0"/>
              <w:spacing w:before="0" w:beforeAutospacing="0" w:after="0" w:afterAutospacing="0" w:line="300" w:lineRule="auto"/>
              <w:ind w:left="0" w:right="0"/>
              <w:jc w:val="center"/>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4</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337CA177">
            <w:pPr>
              <w:keepNext w:val="0"/>
              <w:keepLines w:val="0"/>
              <w:pageBreakBefore w:val="0"/>
              <w:widowControl/>
              <w:suppressLineNumbers w:val="0"/>
              <w:shd w:val="clear" w:color="auto" w:fill="auto"/>
              <w:kinsoku/>
              <w:wordWrap/>
              <w:overflowPunct/>
              <w:topLinePunct w:val="0"/>
              <w:bidi w:val="0"/>
              <w:snapToGrid w:val="0"/>
              <w:spacing w:before="0" w:beforeAutospacing="0" w:after="0" w:afterAutospacing="0" w:line="300" w:lineRule="auto"/>
              <w:ind w:left="0" w:right="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sz w:val="21"/>
                <w:szCs w:val="21"/>
                <w:highlight w:val="none"/>
                <w:u w:val="none"/>
                <w:lang w:val="en-US" w:eastAsia="zh-CN"/>
              </w:rPr>
              <w:t>24芯光缆</w:t>
            </w:r>
          </w:p>
        </w:tc>
        <w:tc>
          <w:tcPr>
            <w:tcW w:w="6079" w:type="dxa"/>
            <w:tcBorders>
              <w:top w:val="single" w:color="000000" w:sz="4" w:space="0"/>
              <w:left w:val="single" w:color="000000" w:sz="4" w:space="0"/>
              <w:bottom w:val="single" w:color="000000" w:sz="4" w:space="0"/>
              <w:right w:val="single" w:color="000000" w:sz="4" w:space="0"/>
            </w:tcBorders>
            <w:noWrap w:val="0"/>
            <w:vAlign w:val="center"/>
          </w:tcPr>
          <w:p w14:paraId="1138B2C8">
            <w:pPr>
              <w:keepNext w:val="0"/>
              <w:keepLines w:val="0"/>
              <w:pageBreakBefore w:val="0"/>
              <w:widowControl/>
              <w:suppressLineNumbers w:val="0"/>
              <w:shd w:val="clear" w:color="auto" w:fill="auto"/>
              <w:kinsoku/>
              <w:wordWrap/>
              <w:overflowPunct/>
              <w:topLinePunct w:val="0"/>
              <w:bidi w:val="0"/>
              <w:snapToGrid w:val="0"/>
              <w:spacing w:before="0" w:beforeAutospacing="0" w:after="0" w:afterAutospacing="0" w:line="300" w:lineRule="auto"/>
              <w:ind w:left="0" w:right="0"/>
              <w:jc w:val="center"/>
              <w:textAlignment w:val="center"/>
              <w:rPr>
                <w:rFonts w:hint="eastAsia"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烽火、通鼎、中天、普天、百盛</w:t>
            </w:r>
            <w:r>
              <w:rPr>
                <w:rFonts w:hint="eastAsia" w:ascii="宋体" w:hAnsi="宋体" w:eastAsia="宋体" w:cs="宋体"/>
                <w:b w:val="0"/>
                <w:bCs w:val="0"/>
                <w:color w:val="auto"/>
                <w:sz w:val="21"/>
                <w:szCs w:val="21"/>
                <w:highlight w:val="none"/>
                <w:lang w:val="en-US" w:eastAsia="zh-CN"/>
              </w:rPr>
              <w:t>或同档次及以上</w:t>
            </w:r>
          </w:p>
        </w:tc>
      </w:tr>
      <w:tr w14:paraId="022FE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14:paraId="24960EC3">
            <w:pPr>
              <w:keepNext w:val="0"/>
              <w:keepLines w:val="0"/>
              <w:pageBreakBefore w:val="0"/>
              <w:widowControl/>
              <w:suppressLineNumbers w:val="0"/>
              <w:shd w:val="clear" w:color="auto" w:fill="auto"/>
              <w:kinsoku/>
              <w:wordWrap/>
              <w:overflowPunct/>
              <w:topLinePunct w:val="0"/>
              <w:bidi w:val="0"/>
              <w:snapToGrid w:val="0"/>
              <w:spacing w:before="0" w:beforeAutospacing="0" w:after="0" w:afterAutospacing="0" w:line="300" w:lineRule="auto"/>
              <w:ind w:left="0" w:right="0"/>
              <w:jc w:val="center"/>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5</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08AAACDF">
            <w:pPr>
              <w:keepNext w:val="0"/>
              <w:keepLines w:val="0"/>
              <w:pageBreakBefore w:val="0"/>
              <w:widowControl/>
              <w:suppressLineNumbers w:val="0"/>
              <w:shd w:val="clear" w:color="auto" w:fill="auto"/>
              <w:kinsoku/>
              <w:wordWrap/>
              <w:overflowPunct/>
              <w:topLinePunct w:val="0"/>
              <w:bidi w:val="0"/>
              <w:snapToGrid w:val="0"/>
              <w:spacing w:before="0" w:beforeAutospacing="0" w:after="0" w:afterAutospacing="0" w:line="300" w:lineRule="auto"/>
              <w:ind w:left="0" w:right="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sz w:val="21"/>
                <w:szCs w:val="21"/>
                <w:highlight w:val="none"/>
                <w:u w:val="none"/>
                <w:lang w:val="en-US" w:eastAsia="zh-CN"/>
              </w:rPr>
              <w:t>光缆终端盒</w:t>
            </w:r>
          </w:p>
        </w:tc>
        <w:tc>
          <w:tcPr>
            <w:tcW w:w="6079" w:type="dxa"/>
            <w:tcBorders>
              <w:top w:val="single" w:color="000000" w:sz="4" w:space="0"/>
              <w:left w:val="single" w:color="000000" w:sz="4" w:space="0"/>
              <w:bottom w:val="single" w:color="000000" w:sz="4" w:space="0"/>
              <w:right w:val="single" w:color="000000" w:sz="4" w:space="0"/>
            </w:tcBorders>
            <w:noWrap w:val="0"/>
            <w:vAlign w:val="center"/>
          </w:tcPr>
          <w:p w14:paraId="1EDFDC84">
            <w:pPr>
              <w:keepNext w:val="0"/>
              <w:keepLines w:val="0"/>
              <w:pageBreakBefore w:val="0"/>
              <w:widowControl/>
              <w:suppressLineNumbers w:val="0"/>
              <w:shd w:val="clear" w:color="auto" w:fill="auto"/>
              <w:kinsoku/>
              <w:wordWrap/>
              <w:overflowPunct/>
              <w:topLinePunct w:val="0"/>
              <w:bidi w:val="0"/>
              <w:snapToGrid w:val="0"/>
              <w:spacing w:before="0" w:beforeAutospacing="0" w:after="0" w:afterAutospacing="0" w:line="300" w:lineRule="auto"/>
              <w:ind w:left="0" w:right="0"/>
              <w:jc w:val="center"/>
              <w:textAlignment w:val="center"/>
              <w:rPr>
                <w:rFonts w:hint="eastAsia"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烽火、通鼎、中天、普天、鑫诺米</w:t>
            </w:r>
            <w:r>
              <w:rPr>
                <w:rFonts w:hint="eastAsia" w:ascii="宋体" w:hAnsi="宋体" w:eastAsia="宋体" w:cs="宋体"/>
                <w:b w:val="0"/>
                <w:bCs w:val="0"/>
                <w:color w:val="auto"/>
                <w:sz w:val="21"/>
                <w:szCs w:val="21"/>
                <w:highlight w:val="none"/>
                <w:lang w:val="en-US" w:eastAsia="zh-CN"/>
              </w:rPr>
              <w:t>或同档次及以上</w:t>
            </w:r>
          </w:p>
        </w:tc>
      </w:tr>
      <w:tr w14:paraId="6CACB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14:paraId="132088A5">
            <w:pPr>
              <w:keepNext w:val="0"/>
              <w:keepLines w:val="0"/>
              <w:pageBreakBefore w:val="0"/>
              <w:widowControl/>
              <w:suppressLineNumbers w:val="0"/>
              <w:shd w:val="clear" w:color="auto" w:fill="auto"/>
              <w:kinsoku/>
              <w:wordWrap/>
              <w:overflowPunct/>
              <w:topLinePunct w:val="0"/>
              <w:bidi w:val="0"/>
              <w:snapToGrid w:val="0"/>
              <w:spacing w:before="0" w:beforeAutospacing="0" w:after="0" w:afterAutospacing="0" w:line="300" w:lineRule="auto"/>
              <w:ind w:left="0" w:right="0"/>
              <w:jc w:val="center"/>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6</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544B45F3">
            <w:pPr>
              <w:keepNext w:val="0"/>
              <w:keepLines w:val="0"/>
              <w:pageBreakBefore w:val="0"/>
              <w:widowControl/>
              <w:suppressLineNumbers w:val="0"/>
              <w:shd w:val="clear" w:color="auto" w:fill="auto"/>
              <w:kinsoku/>
              <w:wordWrap/>
              <w:overflowPunct/>
              <w:topLinePunct w:val="0"/>
              <w:bidi w:val="0"/>
              <w:snapToGrid w:val="0"/>
              <w:spacing w:before="0" w:beforeAutospacing="0" w:after="0" w:afterAutospacing="0" w:line="300" w:lineRule="auto"/>
              <w:ind w:left="0" w:right="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sz w:val="21"/>
                <w:szCs w:val="21"/>
                <w:highlight w:val="none"/>
                <w:u w:val="none"/>
                <w:lang w:val="en-US" w:eastAsia="zh-CN"/>
              </w:rPr>
              <w:t>配电箱元器件</w:t>
            </w:r>
          </w:p>
        </w:tc>
        <w:tc>
          <w:tcPr>
            <w:tcW w:w="6079" w:type="dxa"/>
            <w:tcBorders>
              <w:top w:val="single" w:color="000000" w:sz="4" w:space="0"/>
              <w:left w:val="single" w:color="000000" w:sz="4" w:space="0"/>
              <w:bottom w:val="single" w:color="000000" w:sz="4" w:space="0"/>
              <w:right w:val="single" w:color="000000" w:sz="4" w:space="0"/>
            </w:tcBorders>
            <w:noWrap w:val="0"/>
            <w:vAlign w:val="center"/>
          </w:tcPr>
          <w:p w14:paraId="1FFD7F94">
            <w:pPr>
              <w:keepNext w:val="0"/>
              <w:keepLines w:val="0"/>
              <w:pageBreakBefore w:val="0"/>
              <w:widowControl/>
              <w:suppressLineNumbers w:val="0"/>
              <w:shd w:val="clear" w:color="auto" w:fill="auto"/>
              <w:kinsoku/>
              <w:wordWrap/>
              <w:overflowPunct/>
              <w:topLinePunct w:val="0"/>
              <w:bidi w:val="0"/>
              <w:snapToGrid w:val="0"/>
              <w:spacing w:before="0" w:beforeAutospacing="0" w:after="0" w:afterAutospacing="0" w:line="300" w:lineRule="auto"/>
              <w:ind w:left="0" w:right="0"/>
              <w:jc w:val="center"/>
              <w:textAlignment w:val="center"/>
              <w:rPr>
                <w:rFonts w:hint="eastAsia"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西门子、施耐德电气、ABB、罗格朗、海格</w:t>
            </w:r>
            <w:r>
              <w:rPr>
                <w:rFonts w:hint="eastAsia" w:ascii="宋体" w:hAnsi="宋体" w:eastAsia="宋体" w:cs="宋体"/>
                <w:b w:val="0"/>
                <w:bCs w:val="0"/>
                <w:color w:val="auto"/>
                <w:sz w:val="21"/>
                <w:szCs w:val="21"/>
                <w:highlight w:val="none"/>
                <w:lang w:val="en-US" w:eastAsia="zh-CN"/>
              </w:rPr>
              <w:t>或同档次及以上</w:t>
            </w:r>
          </w:p>
        </w:tc>
      </w:tr>
      <w:tr w14:paraId="2100D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10" w:type="dxa"/>
            <w:tcBorders>
              <w:top w:val="single" w:color="000000" w:sz="4" w:space="0"/>
              <w:left w:val="single" w:color="000000" w:sz="4" w:space="0"/>
              <w:bottom w:val="single" w:color="000000" w:sz="4" w:space="0"/>
              <w:right w:val="single" w:color="000000" w:sz="4" w:space="0"/>
            </w:tcBorders>
            <w:noWrap/>
            <w:vAlign w:val="center"/>
          </w:tcPr>
          <w:p w14:paraId="5F3AA56B">
            <w:pPr>
              <w:keepNext w:val="0"/>
              <w:keepLines w:val="0"/>
              <w:pageBreakBefore w:val="0"/>
              <w:widowControl/>
              <w:suppressLineNumbers w:val="0"/>
              <w:shd w:val="clear" w:color="auto" w:fill="auto"/>
              <w:kinsoku/>
              <w:wordWrap/>
              <w:overflowPunct/>
              <w:topLinePunct w:val="0"/>
              <w:bidi w:val="0"/>
              <w:snapToGrid w:val="0"/>
              <w:spacing w:before="0" w:beforeAutospacing="0" w:after="0" w:afterAutospacing="0" w:line="300" w:lineRule="auto"/>
              <w:ind w:left="0" w:right="0"/>
              <w:jc w:val="center"/>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7</w:t>
            </w:r>
          </w:p>
        </w:tc>
        <w:tc>
          <w:tcPr>
            <w:tcW w:w="2070" w:type="dxa"/>
            <w:tcBorders>
              <w:top w:val="single" w:color="000000" w:sz="4" w:space="0"/>
              <w:left w:val="single" w:color="000000" w:sz="4" w:space="0"/>
              <w:bottom w:val="single" w:color="000000" w:sz="4" w:space="0"/>
              <w:right w:val="single" w:color="000000" w:sz="4" w:space="0"/>
            </w:tcBorders>
            <w:noWrap w:val="0"/>
            <w:vAlign w:val="center"/>
          </w:tcPr>
          <w:p w14:paraId="3666D858">
            <w:pPr>
              <w:keepNext w:val="0"/>
              <w:keepLines w:val="0"/>
              <w:pageBreakBefore w:val="0"/>
              <w:widowControl/>
              <w:suppressLineNumbers w:val="0"/>
              <w:shd w:val="clear" w:color="auto" w:fill="auto"/>
              <w:kinsoku/>
              <w:wordWrap/>
              <w:overflowPunct/>
              <w:topLinePunct w:val="0"/>
              <w:bidi w:val="0"/>
              <w:snapToGrid w:val="0"/>
              <w:spacing w:before="0" w:beforeAutospacing="0" w:after="0" w:afterAutospacing="0" w:line="300" w:lineRule="auto"/>
              <w:ind w:left="0" w:right="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sz w:val="21"/>
                <w:szCs w:val="21"/>
                <w:highlight w:val="none"/>
                <w:u w:val="none"/>
                <w:lang w:val="en-US" w:eastAsia="zh-CN"/>
              </w:rPr>
              <w:t>电源线</w:t>
            </w:r>
          </w:p>
        </w:tc>
        <w:tc>
          <w:tcPr>
            <w:tcW w:w="6079" w:type="dxa"/>
            <w:tcBorders>
              <w:top w:val="single" w:color="000000" w:sz="4" w:space="0"/>
              <w:left w:val="single" w:color="000000" w:sz="4" w:space="0"/>
              <w:bottom w:val="single" w:color="000000" w:sz="4" w:space="0"/>
              <w:right w:val="single" w:color="000000" w:sz="4" w:space="0"/>
            </w:tcBorders>
            <w:noWrap w:val="0"/>
            <w:vAlign w:val="center"/>
          </w:tcPr>
          <w:p w14:paraId="79D48C0A">
            <w:pPr>
              <w:keepNext w:val="0"/>
              <w:keepLines w:val="0"/>
              <w:pageBreakBefore w:val="0"/>
              <w:widowControl/>
              <w:suppressLineNumbers w:val="0"/>
              <w:shd w:val="clear" w:color="auto" w:fill="auto"/>
              <w:kinsoku/>
              <w:wordWrap/>
              <w:overflowPunct/>
              <w:topLinePunct w:val="0"/>
              <w:bidi w:val="0"/>
              <w:snapToGrid w:val="0"/>
              <w:spacing w:before="0" w:beforeAutospacing="0" w:after="0" w:afterAutospacing="0" w:line="300" w:lineRule="auto"/>
              <w:ind w:left="0" w:right="0"/>
              <w:jc w:val="center"/>
              <w:textAlignment w:val="center"/>
              <w:rPr>
                <w:rFonts w:hint="eastAsia" w:ascii="宋体" w:hAnsi="宋体" w:eastAsia="宋体" w:cs="宋体"/>
                <w:b w:val="0"/>
                <w:bCs w:val="0"/>
                <w:i w:val="0"/>
                <w:iCs w:val="0"/>
                <w:color w:val="auto"/>
                <w:sz w:val="21"/>
                <w:szCs w:val="21"/>
                <w:highlight w:val="none"/>
                <w:u w:val="none"/>
                <w:lang w:val="en-US" w:eastAsia="zh-CN"/>
              </w:rPr>
            </w:pPr>
            <w:r>
              <w:rPr>
                <w:rFonts w:hint="eastAsia" w:ascii="宋体" w:hAnsi="宋体" w:eastAsia="宋体" w:cs="宋体"/>
                <w:b w:val="0"/>
                <w:bCs w:val="0"/>
                <w:i w:val="0"/>
                <w:iCs w:val="0"/>
                <w:color w:val="auto"/>
                <w:sz w:val="21"/>
                <w:szCs w:val="21"/>
                <w:highlight w:val="none"/>
                <w:u w:val="none"/>
                <w:lang w:val="en-US" w:eastAsia="zh-CN"/>
              </w:rPr>
              <w:t>远东电缆、宝胜、永通、中大元通、上上</w:t>
            </w:r>
            <w:r>
              <w:rPr>
                <w:rFonts w:hint="eastAsia" w:ascii="宋体" w:hAnsi="宋体" w:eastAsia="宋体" w:cs="宋体"/>
                <w:b w:val="0"/>
                <w:bCs w:val="0"/>
                <w:color w:val="auto"/>
                <w:sz w:val="21"/>
                <w:szCs w:val="21"/>
                <w:highlight w:val="none"/>
                <w:lang w:val="en-US" w:eastAsia="zh-CN"/>
              </w:rPr>
              <w:t>或同档次及以上</w:t>
            </w:r>
          </w:p>
        </w:tc>
      </w:tr>
    </w:tbl>
    <w:p w14:paraId="405776DA">
      <w:pPr>
        <w:keepLines w:val="0"/>
        <w:pageBreakBefore w:val="0"/>
        <w:numPr>
          <w:ilvl w:val="0"/>
          <w:numId w:val="0"/>
        </w:numPr>
        <w:kinsoku/>
        <w:wordWrap/>
        <w:overflowPunct/>
        <w:topLinePunct w:val="0"/>
        <w:bidi w:val="0"/>
        <w:snapToGrid w:val="0"/>
        <w:spacing w:line="312" w:lineRule="auto"/>
        <w:ind w:firstLine="330" w:firstLineChars="150"/>
        <w:rPr>
          <w:rFonts w:hint="default" w:ascii="宋体" w:hAnsi="宋体" w:cs="宋体"/>
          <w:sz w:val="22"/>
          <w:szCs w:val="22"/>
          <w:highlight w:val="none"/>
          <w:lang w:val="en-US" w:eastAsia="zh-CN"/>
        </w:rPr>
      </w:pPr>
      <w:r>
        <w:rPr>
          <w:rFonts w:hint="eastAsia" w:ascii="宋体" w:hAnsi="宋体" w:eastAsia="宋体" w:cs="宋体"/>
          <w:b w:val="0"/>
          <w:bCs/>
          <w:color w:val="auto"/>
          <w:sz w:val="22"/>
          <w:szCs w:val="22"/>
          <w:highlight w:val="none"/>
          <w:lang w:val="en-US" w:eastAsia="zh-CN"/>
        </w:rPr>
        <w:t>注：（1）关于参考品牌：本项目推荐的设备及材料品牌为参考范围，投标人所投产品品牌可在上述品牌范围内选择一种，或选择“同档次及以上”品牌。</w:t>
      </w:r>
    </w:p>
    <w:p w14:paraId="15318189">
      <w:pPr>
        <w:keepNext w:val="0"/>
        <w:keepLines w:val="0"/>
        <w:pageBreakBefore w:val="0"/>
        <w:widowControl w:val="0"/>
        <w:kinsoku/>
        <w:wordWrap/>
        <w:overflowPunct/>
        <w:topLinePunct w:val="0"/>
        <w:autoSpaceDE w:val="0"/>
        <w:autoSpaceDN w:val="0"/>
        <w:bidi w:val="0"/>
        <w:adjustRightInd/>
        <w:snapToGrid w:val="0"/>
        <w:spacing w:line="312" w:lineRule="auto"/>
        <w:ind w:firstLine="442" w:firstLineChars="200"/>
        <w:textAlignment w:val="auto"/>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三、招标方式：</w:t>
      </w:r>
    </w:p>
    <w:p w14:paraId="3028503D">
      <w:pPr>
        <w:keepNext w:val="0"/>
        <w:keepLines w:val="0"/>
        <w:pageBreakBefore w:val="0"/>
        <w:widowControl w:val="0"/>
        <w:kinsoku/>
        <w:wordWrap/>
        <w:overflowPunct/>
        <w:topLinePunct w:val="0"/>
        <w:bidi w:val="0"/>
        <w:adjustRightInd/>
        <w:snapToGrid w:val="0"/>
        <w:spacing w:line="312" w:lineRule="auto"/>
        <w:ind w:firstLine="440" w:firstLineChars="200"/>
        <w:textAlignment w:val="auto"/>
        <w:rPr>
          <w:rFonts w:hint="eastAsia" w:ascii="宋体" w:hAnsi="宋体"/>
          <w:color w:val="auto"/>
          <w:sz w:val="22"/>
          <w:szCs w:val="22"/>
          <w:highlight w:val="none"/>
        </w:rPr>
      </w:pPr>
      <w:r>
        <w:rPr>
          <w:rFonts w:hint="eastAsia" w:ascii="宋体" w:hAnsi="宋体"/>
          <w:color w:val="auto"/>
          <w:sz w:val="22"/>
          <w:szCs w:val="22"/>
          <w:highlight w:val="none"/>
          <w:lang w:val="en-US" w:eastAsia="zh-CN"/>
        </w:rPr>
        <w:t>1.</w:t>
      </w:r>
      <w:r>
        <w:rPr>
          <w:rFonts w:hint="eastAsia" w:ascii="宋体" w:hAnsi="宋体"/>
          <w:color w:val="auto"/>
          <w:sz w:val="22"/>
          <w:szCs w:val="22"/>
          <w:highlight w:val="none"/>
        </w:rPr>
        <w:t>本工程采用</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eastAsia="zh-CN"/>
        </w:rPr>
        <w:t>公开</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招标的方式招标。</w:t>
      </w:r>
    </w:p>
    <w:p w14:paraId="6BF6EB5E">
      <w:pPr>
        <w:keepNext w:val="0"/>
        <w:keepLines w:val="0"/>
        <w:pageBreakBefore w:val="0"/>
        <w:widowControl w:val="0"/>
        <w:kinsoku/>
        <w:wordWrap/>
        <w:overflowPunct/>
        <w:topLinePunct w:val="0"/>
        <w:bidi w:val="0"/>
        <w:adjustRightInd/>
        <w:snapToGrid w:val="0"/>
        <w:spacing w:line="312" w:lineRule="auto"/>
        <w:ind w:firstLine="440" w:firstLineChars="200"/>
        <w:textAlignment w:val="auto"/>
        <w:rPr>
          <w:rFonts w:ascii="宋体" w:hAnsi="宋体"/>
          <w:color w:val="auto"/>
          <w:sz w:val="22"/>
          <w:szCs w:val="22"/>
          <w:highlight w:val="none"/>
        </w:rPr>
      </w:pPr>
      <w:r>
        <w:rPr>
          <w:rFonts w:hint="eastAsia" w:ascii="宋体" w:hAnsi="宋体"/>
          <w:color w:val="auto"/>
          <w:sz w:val="22"/>
          <w:szCs w:val="22"/>
          <w:highlight w:val="none"/>
          <w:lang w:val="en-US" w:eastAsia="zh-CN"/>
        </w:rPr>
        <w:t>2.</w:t>
      </w:r>
      <w:r>
        <w:rPr>
          <w:rFonts w:hint="eastAsia" w:ascii="宋体" w:hAnsi="宋体"/>
          <w:color w:val="auto"/>
          <w:sz w:val="22"/>
          <w:szCs w:val="22"/>
          <w:highlight w:val="none"/>
        </w:rPr>
        <w:t>在绍兴市公共资源交易中心网站发布招标信息，符合资格要求的潜在投标人均可</w:t>
      </w:r>
      <w:r>
        <w:rPr>
          <w:rFonts w:hint="eastAsia" w:ascii="宋体" w:hAnsi="宋体"/>
          <w:color w:val="auto"/>
          <w:sz w:val="22"/>
          <w:szCs w:val="22"/>
          <w:highlight w:val="none"/>
          <w:lang w:val="en-US" w:eastAsia="zh-CN"/>
        </w:rPr>
        <w:t>按照招标公告要求</w:t>
      </w:r>
      <w:r>
        <w:rPr>
          <w:rFonts w:hint="eastAsia" w:ascii="宋体" w:hAnsi="宋体"/>
          <w:color w:val="auto"/>
          <w:sz w:val="22"/>
          <w:szCs w:val="22"/>
          <w:highlight w:val="none"/>
          <w:lang w:eastAsia="zh-CN"/>
        </w:rPr>
        <w:t>获取招标文件</w:t>
      </w:r>
      <w:r>
        <w:rPr>
          <w:rFonts w:hint="eastAsia" w:ascii="宋体" w:hAnsi="宋体"/>
          <w:color w:val="auto"/>
          <w:sz w:val="22"/>
          <w:szCs w:val="22"/>
          <w:highlight w:val="none"/>
        </w:rPr>
        <w:t>。</w:t>
      </w:r>
    </w:p>
    <w:p w14:paraId="586DDBDA">
      <w:pPr>
        <w:keepNext w:val="0"/>
        <w:keepLines w:val="0"/>
        <w:pageBreakBefore w:val="0"/>
        <w:widowControl w:val="0"/>
        <w:tabs>
          <w:tab w:val="left" w:pos="1260"/>
        </w:tabs>
        <w:kinsoku/>
        <w:wordWrap/>
        <w:overflowPunct/>
        <w:topLinePunct w:val="0"/>
        <w:bidi w:val="0"/>
        <w:adjustRightInd/>
        <w:snapToGrid w:val="0"/>
        <w:spacing w:line="312"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潜在投标人少于3家时，招标人重新发布信息，重新组织招标。</w:t>
      </w:r>
    </w:p>
    <w:p w14:paraId="0D5B588F">
      <w:pPr>
        <w:keepNext w:val="0"/>
        <w:keepLines w:val="0"/>
        <w:pageBreakBefore w:val="0"/>
        <w:widowControl w:val="0"/>
        <w:kinsoku/>
        <w:wordWrap/>
        <w:overflowPunct/>
        <w:topLinePunct w:val="0"/>
        <w:bidi w:val="0"/>
        <w:adjustRightInd/>
        <w:snapToGrid w:val="0"/>
        <w:spacing w:line="312" w:lineRule="auto"/>
        <w:ind w:firstLine="442" w:firstLineChars="200"/>
        <w:textAlignment w:val="auto"/>
        <w:rPr>
          <w:rFonts w:hint="eastAsia"/>
          <w:color w:val="auto"/>
          <w:sz w:val="22"/>
          <w:szCs w:val="28"/>
          <w:highlight w:val="none"/>
        </w:rPr>
      </w:pPr>
      <w:r>
        <w:rPr>
          <w:rFonts w:hint="eastAsia" w:ascii="宋体" w:hAnsi="宋体"/>
          <w:b/>
          <w:color w:val="auto"/>
          <w:sz w:val="22"/>
          <w:szCs w:val="22"/>
          <w:highlight w:val="none"/>
          <w:lang w:val="en-US" w:eastAsia="zh-CN"/>
        </w:rPr>
        <w:t>四、</w:t>
      </w:r>
      <w:r>
        <w:rPr>
          <w:rFonts w:hint="eastAsia"/>
          <w:color w:val="auto"/>
          <w:sz w:val="22"/>
          <w:szCs w:val="28"/>
          <w:highlight w:val="none"/>
        </w:rPr>
        <w:t>投标人应具备承担本项目</w:t>
      </w:r>
      <w:r>
        <w:rPr>
          <w:rFonts w:hint="eastAsia"/>
          <w:color w:val="auto"/>
          <w:sz w:val="22"/>
          <w:szCs w:val="28"/>
          <w:highlight w:val="none"/>
          <w:lang w:val="en-US" w:eastAsia="zh-CN"/>
        </w:rPr>
        <w:t>货物</w:t>
      </w:r>
      <w:r>
        <w:rPr>
          <w:rFonts w:hint="eastAsia"/>
          <w:color w:val="auto"/>
          <w:sz w:val="22"/>
          <w:szCs w:val="28"/>
          <w:highlight w:val="none"/>
        </w:rPr>
        <w:t>的资质条件、能力和信誉等合格条件。</w:t>
      </w:r>
    </w:p>
    <w:p w14:paraId="0AA1AD1F">
      <w:pPr>
        <w:keepNext w:val="0"/>
        <w:keepLines w:val="0"/>
        <w:pageBreakBefore w:val="0"/>
        <w:widowControl w:val="0"/>
        <w:kinsoku/>
        <w:wordWrap/>
        <w:overflowPunct/>
        <w:topLinePunct w:val="0"/>
        <w:bidi w:val="0"/>
        <w:adjustRightInd/>
        <w:snapToGrid w:val="0"/>
        <w:spacing w:line="312" w:lineRule="auto"/>
        <w:ind w:firstLine="420"/>
        <w:textAlignment w:val="auto"/>
        <w:rPr>
          <w:rFonts w:hint="eastAsia"/>
          <w:color w:val="auto"/>
          <w:sz w:val="22"/>
          <w:szCs w:val="28"/>
          <w:highlight w:val="none"/>
          <w:u w:val="single"/>
        </w:rPr>
      </w:pPr>
      <w:r>
        <w:rPr>
          <w:rFonts w:hint="eastAsia"/>
          <w:color w:val="auto"/>
          <w:sz w:val="22"/>
          <w:szCs w:val="28"/>
          <w:highlight w:val="none"/>
          <w:u w:val="single"/>
          <w:lang w:val="en-US" w:eastAsia="zh-CN"/>
        </w:rPr>
        <w:t>1.投标人</w:t>
      </w:r>
      <w:r>
        <w:rPr>
          <w:rFonts w:hint="eastAsia"/>
          <w:color w:val="auto"/>
          <w:sz w:val="22"/>
          <w:szCs w:val="28"/>
          <w:highlight w:val="none"/>
          <w:u w:val="single"/>
          <w:lang w:eastAsia="zh-CN"/>
        </w:rPr>
        <w:t>自</w:t>
      </w:r>
      <w:r>
        <w:rPr>
          <w:rFonts w:hint="eastAsia"/>
          <w:color w:val="auto"/>
          <w:sz w:val="22"/>
          <w:szCs w:val="28"/>
          <w:highlight w:val="none"/>
          <w:u w:val="single"/>
          <w:lang w:val="en-US" w:eastAsia="zh-CN"/>
        </w:rPr>
        <w:t>2023</w:t>
      </w:r>
      <w:r>
        <w:rPr>
          <w:rFonts w:hint="eastAsia"/>
          <w:color w:val="auto"/>
          <w:sz w:val="22"/>
          <w:szCs w:val="28"/>
          <w:highlight w:val="none"/>
          <w:u w:val="single"/>
          <w:lang w:eastAsia="zh-CN"/>
        </w:rPr>
        <w:t>年</w:t>
      </w:r>
      <w:r>
        <w:rPr>
          <w:rFonts w:hint="eastAsia"/>
          <w:color w:val="auto"/>
          <w:sz w:val="22"/>
          <w:szCs w:val="28"/>
          <w:highlight w:val="none"/>
          <w:u w:val="single"/>
          <w:lang w:val="en-US" w:eastAsia="zh-CN"/>
        </w:rPr>
        <w:t>7</w:t>
      </w:r>
      <w:r>
        <w:rPr>
          <w:rFonts w:hint="eastAsia"/>
          <w:color w:val="auto"/>
          <w:sz w:val="22"/>
          <w:szCs w:val="28"/>
          <w:highlight w:val="none"/>
          <w:u w:val="single"/>
          <w:lang w:eastAsia="zh-CN"/>
        </w:rPr>
        <w:t>月</w:t>
      </w:r>
      <w:r>
        <w:rPr>
          <w:rFonts w:hint="eastAsia"/>
          <w:color w:val="auto"/>
          <w:sz w:val="22"/>
          <w:szCs w:val="28"/>
          <w:highlight w:val="none"/>
          <w:u w:val="single"/>
          <w:lang w:val="en-US" w:eastAsia="zh-CN"/>
        </w:rPr>
        <w:t>1</w:t>
      </w:r>
      <w:r>
        <w:rPr>
          <w:rFonts w:hint="eastAsia"/>
          <w:color w:val="auto"/>
          <w:sz w:val="22"/>
          <w:szCs w:val="28"/>
          <w:highlight w:val="none"/>
          <w:u w:val="single"/>
          <w:lang w:eastAsia="zh-CN"/>
        </w:rPr>
        <w:t>日起至投标截止日止无行贿犯罪记录</w:t>
      </w:r>
      <w:r>
        <w:rPr>
          <w:rFonts w:hint="eastAsia"/>
          <w:color w:val="auto"/>
          <w:sz w:val="22"/>
          <w:szCs w:val="28"/>
          <w:highlight w:val="none"/>
          <w:u w:val="single"/>
        </w:rPr>
        <w:t>（投标人提供承诺书）。</w:t>
      </w:r>
    </w:p>
    <w:p w14:paraId="0AF8C7BC">
      <w:pPr>
        <w:keepNext w:val="0"/>
        <w:keepLines w:val="0"/>
        <w:pageBreakBefore w:val="0"/>
        <w:widowControl w:val="0"/>
        <w:kinsoku/>
        <w:wordWrap/>
        <w:overflowPunct/>
        <w:topLinePunct w:val="0"/>
        <w:bidi w:val="0"/>
        <w:adjustRightInd/>
        <w:snapToGrid w:val="0"/>
        <w:spacing w:line="312" w:lineRule="auto"/>
        <w:ind w:firstLine="420"/>
        <w:textAlignment w:val="auto"/>
        <w:rPr>
          <w:rFonts w:hint="eastAsia"/>
          <w:color w:val="auto"/>
          <w:sz w:val="22"/>
          <w:szCs w:val="28"/>
          <w:highlight w:val="none"/>
          <w:u w:val="single"/>
          <w:lang w:val="en-US" w:eastAsia="zh-CN"/>
        </w:rPr>
      </w:pPr>
      <w:r>
        <w:rPr>
          <w:rFonts w:hint="eastAsia"/>
          <w:color w:val="auto"/>
          <w:sz w:val="22"/>
          <w:szCs w:val="28"/>
          <w:highlight w:val="none"/>
          <w:u w:val="single"/>
          <w:lang w:val="en-US" w:eastAsia="zh-CN"/>
        </w:rPr>
        <w:t>2.投标人未被列入建筑市场严重失信名单（以全国建筑市场监管公共服务平台黑名单记录、失信联合惩戒记录和浙江省建筑市场监管公共服务系统严重失信名单的信息为准）；</w:t>
      </w:r>
    </w:p>
    <w:p w14:paraId="134CF64A">
      <w:pPr>
        <w:keepNext w:val="0"/>
        <w:keepLines w:val="0"/>
        <w:pageBreakBefore w:val="0"/>
        <w:widowControl w:val="0"/>
        <w:kinsoku/>
        <w:wordWrap/>
        <w:overflowPunct/>
        <w:topLinePunct w:val="0"/>
        <w:bidi w:val="0"/>
        <w:adjustRightInd/>
        <w:snapToGrid w:val="0"/>
        <w:spacing w:line="312" w:lineRule="auto"/>
        <w:ind w:firstLine="420"/>
        <w:textAlignment w:val="auto"/>
        <w:rPr>
          <w:rFonts w:hint="eastAsia"/>
          <w:color w:val="auto"/>
          <w:sz w:val="22"/>
          <w:szCs w:val="28"/>
          <w:highlight w:val="none"/>
          <w:u w:val="single"/>
          <w:lang w:val="en-US" w:eastAsia="zh-CN"/>
        </w:rPr>
      </w:pPr>
      <w:r>
        <w:rPr>
          <w:rFonts w:hint="eastAsia"/>
          <w:color w:val="auto"/>
          <w:sz w:val="22"/>
          <w:szCs w:val="28"/>
          <w:highlight w:val="none"/>
          <w:u w:val="single"/>
          <w:lang w:val="en-US" w:eastAsia="zh-CN"/>
        </w:rPr>
        <w:t>3.投标人投标资格业绩：自2021年7月1日以来，完成过单个合同金额80万元及以上的建筑工程的无线室分项目。</w:t>
      </w:r>
    </w:p>
    <w:p w14:paraId="410D9ABC">
      <w:pPr>
        <w:keepNext w:val="0"/>
        <w:keepLines w:val="0"/>
        <w:pageBreakBefore w:val="0"/>
        <w:widowControl w:val="0"/>
        <w:kinsoku/>
        <w:wordWrap/>
        <w:overflowPunct/>
        <w:topLinePunct w:val="0"/>
        <w:bidi w:val="0"/>
        <w:adjustRightInd/>
        <w:snapToGrid w:val="0"/>
        <w:spacing w:line="312" w:lineRule="auto"/>
        <w:ind w:firstLine="420"/>
        <w:textAlignment w:val="auto"/>
        <w:rPr>
          <w:rFonts w:hint="eastAsia"/>
          <w:color w:val="auto"/>
          <w:sz w:val="22"/>
          <w:szCs w:val="28"/>
          <w:highlight w:val="none"/>
          <w:u w:val="single"/>
          <w:lang w:val="en-US" w:eastAsia="zh-CN"/>
        </w:rPr>
      </w:pPr>
      <w:r>
        <w:rPr>
          <w:rFonts w:hint="eastAsia"/>
          <w:color w:val="auto"/>
          <w:sz w:val="22"/>
          <w:szCs w:val="28"/>
          <w:highlight w:val="none"/>
          <w:u w:val="single"/>
          <w:lang w:val="en-US" w:eastAsia="zh-CN"/>
        </w:rPr>
        <w:t>备注：</w:t>
      </w:r>
    </w:p>
    <w:p w14:paraId="4B02A50F">
      <w:pPr>
        <w:keepNext w:val="0"/>
        <w:keepLines w:val="0"/>
        <w:pageBreakBefore w:val="0"/>
        <w:widowControl w:val="0"/>
        <w:kinsoku/>
        <w:wordWrap/>
        <w:overflowPunct/>
        <w:topLinePunct w:val="0"/>
        <w:bidi w:val="0"/>
        <w:adjustRightInd/>
        <w:snapToGrid w:val="0"/>
        <w:spacing w:line="312" w:lineRule="auto"/>
        <w:ind w:firstLine="420"/>
        <w:textAlignment w:val="auto"/>
        <w:rPr>
          <w:rFonts w:hint="eastAsia"/>
          <w:color w:val="auto"/>
          <w:sz w:val="22"/>
          <w:szCs w:val="28"/>
          <w:highlight w:val="none"/>
          <w:u w:val="single"/>
          <w:lang w:val="en-US" w:eastAsia="zh-CN"/>
        </w:rPr>
      </w:pPr>
      <w:r>
        <w:rPr>
          <w:rFonts w:hint="eastAsia"/>
          <w:color w:val="auto"/>
          <w:sz w:val="22"/>
          <w:szCs w:val="28"/>
          <w:highlight w:val="none"/>
          <w:u w:val="single"/>
          <w:lang w:val="en-US" w:eastAsia="zh-CN"/>
        </w:rPr>
        <w:t>①业绩证明资料须同时提供：提供业绩合同、通信发展办（或通建办）出具的《准予接入公网通知书》；</w:t>
      </w:r>
    </w:p>
    <w:p w14:paraId="58C4C9F1">
      <w:pPr>
        <w:keepNext w:val="0"/>
        <w:keepLines w:val="0"/>
        <w:pageBreakBefore w:val="0"/>
        <w:widowControl w:val="0"/>
        <w:kinsoku/>
        <w:wordWrap/>
        <w:overflowPunct/>
        <w:topLinePunct w:val="0"/>
        <w:bidi w:val="0"/>
        <w:adjustRightInd/>
        <w:snapToGrid w:val="0"/>
        <w:spacing w:line="312" w:lineRule="auto"/>
        <w:ind w:firstLine="420"/>
        <w:textAlignment w:val="auto"/>
        <w:rPr>
          <w:rFonts w:hint="eastAsia"/>
          <w:color w:val="auto"/>
          <w:sz w:val="22"/>
          <w:szCs w:val="28"/>
          <w:highlight w:val="none"/>
          <w:u w:val="single"/>
          <w:lang w:val="en-US" w:eastAsia="zh-CN"/>
        </w:rPr>
      </w:pPr>
      <w:r>
        <w:rPr>
          <w:rFonts w:hint="eastAsia"/>
          <w:color w:val="auto"/>
          <w:sz w:val="22"/>
          <w:szCs w:val="28"/>
          <w:highlight w:val="none"/>
          <w:u w:val="single"/>
          <w:lang w:val="en-US" w:eastAsia="zh-CN"/>
        </w:rPr>
        <w:t>②业绩时间以《准予接入公网通知书》上的时间为准，金额以合同为准；</w:t>
      </w:r>
    </w:p>
    <w:p w14:paraId="7EB142E4">
      <w:pPr>
        <w:keepNext w:val="0"/>
        <w:keepLines w:val="0"/>
        <w:pageBreakBefore w:val="0"/>
        <w:widowControl w:val="0"/>
        <w:kinsoku/>
        <w:wordWrap/>
        <w:overflowPunct/>
        <w:topLinePunct w:val="0"/>
        <w:bidi w:val="0"/>
        <w:adjustRightInd/>
        <w:snapToGrid w:val="0"/>
        <w:spacing w:line="312" w:lineRule="auto"/>
        <w:ind w:firstLine="420"/>
        <w:textAlignment w:val="auto"/>
        <w:rPr>
          <w:rFonts w:hint="eastAsia"/>
          <w:color w:val="auto"/>
          <w:sz w:val="22"/>
          <w:szCs w:val="28"/>
          <w:highlight w:val="none"/>
          <w:u w:val="single"/>
          <w:lang w:val="en-US" w:eastAsia="zh-CN"/>
        </w:rPr>
      </w:pPr>
      <w:r>
        <w:rPr>
          <w:rFonts w:hint="eastAsia"/>
          <w:color w:val="auto"/>
          <w:sz w:val="22"/>
          <w:szCs w:val="28"/>
          <w:highlight w:val="none"/>
          <w:u w:val="single"/>
          <w:lang w:val="en-US" w:eastAsia="zh-CN"/>
        </w:rPr>
        <w:t>③项目其余特征内容在上述证明材料中未明确的（如综合类项目合同中无法体现无线室分的合同金额的），提供建设（代建）单位的证明材料，需加盖提供单位公章。</w:t>
      </w:r>
    </w:p>
    <w:p w14:paraId="5682A97F">
      <w:pPr>
        <w:keepNext w:val="0"/>
        <w:keepLines w:val="0"/>
        <w:pageBreakBefore w:val="0"/>
        <w:widowControl w:val="0"/>
        <w:kinsoku/>
        <w:wordWrap/>
        <w:overflowPunct/>
        <w:topLinePunct w:val="0"/>
        <w:bidi w:val="0"/>
        <w:adjustRightInd/>
        <w:snapToGrid w:val="0"/>
        <w:spacing w:line="312" w:lineRule="auto"/>
        <w:ind w:firstLine="420"/>
        <w:textAlignment w:val="auto"/>
        <w:rPr>
          <w:rFonts w:hint="eastAsia"/>
          <w:color w:val="auto"/>
          <w:sz w:val="22"/>
          <w:szCs w:val="28"/>
          <w:highlight w:val="none"/>
          <w:u w:val="single"/>
          <w:lang w:val="en-US" w:eastAsia="zh-CN"/>
        </w:rPr>
      </w:pPr>
      <w:r>
        <w:rPr>
          <w:rFonts w:hint="eastAsia"/>
          <w:color w:val="auto"/>
          <w:sz w:val="22"/>
          <w:szCs w:val="28"/>
          <w:highlight w:val="none"/>
          <w:u w:val="single"/>
          <w:lang w:val="en-US" w:eastAsia="zh-CN"/>
        </w:rPr>
        <w:t>注：本项目中的“无线室分”是指：室内分布天线系统，是室内覆盖系统的重要组成部分，通过在建筑物内各个区域布放馈线及安装天线(或泄漏电缆)等措施，使信号均匀地分布在各区域，实现用户在任何时间、任何地方的移动通信。</w:t>
      </w:r>
    </w:p>
    <w:p w14:paraId="04240997">
      <w:pPr>
        <w:keepNext w:val="0"/>
        <w:keepLines w:val="0"/>
        <w:pageBreakBefore w:val="0"/>
        <w:widowControl w:val="0"/>
        <w:kinsoku/>
        <w:wordWrap/>
        <w:overflowPunct/>
        <w:topLinePunct w:val="0"/>
        <w:bidi w:val="0"/>
        <w:adjustRightInd/>
        <w:snapToGrid w:val="0"/>
        <w:spacing w:line="312" w:lineRule="auto"/>
        <w:ind w:firstLine="420"/>
        <w:textAlignment w:val="auto"/>
        <w:rPr>
          <w:rFonts w:hint="eastAsia"/>
          <w:color w:val="auto"/>
          <w:sz w:val="22"/>
          <w:szCs w:val="28"/>
          <w:highlight w:val="none"/>
          <w:u w:val="single"/>
        </w:rPr>
      </w:pPr>
      <w:r>
        <w:rPr>
          <w:rFonts w:hint="eastAsia"/>
          <w:color w:val="auto"/>
          <w:sz w:val="22"/>
          <w:szCs w:val="28"/>
          <w:highlight w:val="none"/>
          <w:u w:val="single"/>
          <w:lang w:val="en-US" w:eastAsia="zh-CN"/>
        </w:rPr>
        <w:t>4.本次招</w:t>
      </w:r>
      <w:r>
        <w:rPr>
          <w:rFonts w:hint="eastAsia"/>
          <w:color w:val="auto"/>
          <w:sz w:val="22"/>
          <w:szCs w:val="28"/>
          <w:highlight w:val="none"/>
          <w:u w:val="single"/>
        </w:rPr>
        <w:t>标</w:t>
      </w:r>
      <w:r>
        <w:rPr>
          <w:rFonts w:hint="eastAsia"/>
          <w:color w:val="auto"/>
          <w:sz w:val="22"/>
          <w:szCs w:val="28"/>
          <w:highlight w:val="none"/>
          <w:u w:val="single"/>
          <w:lang w:val="en-US" w:eastAsia="zh-CN"/>
        </w:rPr>
        <w:t>不</w:t>
      </w:r>
      <w:r>
        <w:rPr>
          <w:rFonts w:hint="eastAsia"/>
          <w:color w:val="auto"/>
          <w:sz w:val="22"/>
          <w:szCs w:val="28"/>
          <w:highlight w:val="none"/>
          <w:u w:val="single"/>
        </w:rPr>
        <w:t>联合体投标。</w:t>
      </w:r>
    </w:p>
    <w:p w14:paraId="6BCA96A0">
      <w:pPr>
        <w:keepNext w:val="0"/>
        <w:keepLines w:val="0"/>
        <w:pageBreakBefore w:val="0"/>
        <w:widowControl w:val="0"/>
        <w:kinsoku/>
        <w:wordWrap/>
        <w:overflowPunct/>
        <w:topLinePunct w:val="0"/>
        <w:bidi w:val="0"/>
        <w:adjustRightInd/>
        <w:snapToGrid w:val="0"/>
        <w:spacing w:line="312" w:lineRule="auto"/>
        <w:ind w:firstLine="442" w:firstLineChars="200"/>
        <w:textAlignment w:val="auto"/>
        <w:rPr>
          <w:rFonts w:ascii="宋体" w:hAnsi="宋体"/>
          <w:b/>
          <w:color w:val="auto"/>
          <w:sz w:val="22"/>
          <w:szCs w:val="22"/>
          <w:highlight w:val="none"/>
        </w:rPr>
      </w:pPr>
      <w:r>
        <w:rPr>
          <w:rFonts w:hint="eastAsia" w:ascii="宋体" w:hAnsi="宋体"/>
          <w:b/>
          <w:color w:val="auto"/>
          <w:sz w:val="22"/>
          <w:szCs w:val="22"/>
          <w:highlight w:val="none"/>
          <w:lang w:val="en-US" w:eastAsia="zh-CN"/>
        </w:rPr>
        <w:t>五、</w:t>
      </w:r>
      <w:r>
        <w:rPr>
          <w:rFonts w:hint="eastAsia" w:ascii="宋体" w:hAnsi="宋体"/>
          <w:b/>
          <w:color w:val="auto"/>
          <w:sz w:val="22"/>
          <w:szCs w:val="22"/>
          <w:highlight w:val="none"/>
        </w:rPr>
        <w:t>资金来源</w:t>
      </w:r>
    </w:p>
    <w:p w14:paraId="369FA8CE">
      <w:pPr>
        <w:keepNext w:val="0"/>
        <w:keepLines w:val="0"/>
        <w:pageBreakBefore w:val="0"/>
        <w:widowControl w:val="0"/>
        <w:kinsoku/>
        <w:wordWrap/>
        <w:overflowPunct/>
        <w:topLinePunct w:val="0"/>
        <w:bidi w:val="0"/>
        <w:adjustRightInd/>
        <w:snapToGrid w:val="0"/>
        <w:spacing w:line="312" w:lineRule="auto"/>
        <w:ind w:left="420" w:leftChars="200" w:firstLine="0" w:firstLineChars="0"/>
        <w:textAlignment w:val="auto"/>
        <w:rPr>
          <w:rFonts w:ascii="宋体" w:hAnsi="宋体"/>
          <w:b/>
          <w:color w:val="auto"/>
          <w:sz w:val="22"/>
          <w:szCs w:val="22"/>
          <w:highlight w:val="none"/>
        </w:rPr>
      </w:pPr>
      <w:r>
        <w:rPr>
          <w:rFonts w:hint="eastAsia" w:ascii="宋体" w:hAnsi="宋体"/>
          <w:color w:val="auto"/>
          <w:sz w:val="22"/>
          <w:szCs w:val="22"/>
          <w:highlight w:val="none"/>
        </w:rPr>
        <w:t>建设单位的资金通过前附表所述的方式获得。</w:t>
      </w:r>
      <w:r>
        <w:rPr>
          <w:rFonts w:hint="eastAsia" w:ascii="宋体" w:hAnsi="宋体"/>
          <w:color w:val="auto"/>
          <w:sz w:val="22"/>
          <w:szCs w:val="22"/>
          <w:highlight w:val="none"/>
        </w:rPr>
        <w:cr/>
      </w:r>
      <w:r>
        <w:rPr>
          <w:rFonts w:hint="eastAsia" w:ascii="宋体" w:hAnsi="宋体"/>
          <w:b/>
          <w:color w:val="auto"/>
          <w:sz w:val="22"/>
          <w:szCs w:val="22"/>
          <w:highlight w:val="none"/>
          <w:lang w:val="en-US" w:eastAsia="zh-CN"/>
        </w:rPr>
        <w:t>六、</w:t>
      </w:r>
      <w:r>
        <w:rPr>
          <w:rFonts w:hint="eastAsia" w:ascii="宋体" w:hAnsi="宋体"/>
          <w:b/>
          <w:color w:val="auto"/>
          <w:sz w:val="22"/>
          <w:szCs w:val="22"/>
          <w:highlight w:val="none"/>
        </w:rPr>
        <w:t>投标文件有效期</w:t>
      </w:r>
    </w:p>
    <w:p w14:paraId="7CE1C00F">
      <w:pPr>
        <w:keepNext w:val="0"/>
        <w:keepLines w:val="0"/>
        <w:pageBreakBefore w:val="0"/>
        <w:widowControl w:val="0"/>
        <w:kinsoku/>
        <w:wordWrap/>
        <w:overflowPunct/>
        <w:topLinePunct w:val="0"/>
        <w:bidi w:val="0"/>
        <w:adjustRightInd/>
        <w:snapToGrid w:val="0"/>
        <w:spacing w:line="312" w:lineRule="auto"/>
        <w:ind w:firstLine="440" w:firstLineChars="200"/>
        <w:textAlignment w:val="auto"/>
        <w:rPr>
          <w:rFonts w:ascii="宋体" w:hAnsi="宋体"/>
          <w:color w:val="auto"/>
          <w:sz w:val="22"/>
          <w:szCs w:val="22"/>
          <w:highlight w:val="none"/>
        </w:rPr>
      </w:pPr>
      <w:r>
        <w:rPr>
          <w:rFonts w:ascii="宋体" w:hAnsi="宋体"/>
          <w:color w:val="auto"/>
          <w:sz w:val="22"/>
          <w:szCs w:val="22"/>
          <w:highlight w:val="none"/>
        </w:rPr>
        <w:t>6</w:t>
      </w:r>
      <w:r>
        <w:rPr>
          <w:rFonts w:hint="eastAsia" w:ascii="宋体" w:hAnsi="宋体"/>
          <w:color w:val="auto"/>
          <w:sz w:val="22"/>
          <w:szCs w:val="22"/>
          <w:highlight w:val="none"/>
        </w:rPr>
        <w:t>0日历天，自投标截止之日起。</w:t>
      </w:r>
    </w:p>
    <w:p w14:paraId="3C5E0626">
      <w:pPr>
        <w:keepNext w:val="0"/>
        <w:keepLines w:val="0"/>
        <w:pageBreakBefore w:val="0"/>
        <w:widowControl w:val="0"/>
        <w:kinsoku/>
        <w:wordWrap/>
        <w:overflowPunct/>
        <w:topLinePunct w:val="0"/>
        <w:bidi w:val="0"/>
        <w:adjustRightInd/>
        <w:snapToGrid w:val="0"/>
        <w:spacing w:line="312" w:lineRule="auto"/>
        <w:ind w:firstLine="442" w:firstLineChars="200"/>
        <w:textAlignment w:val="auto"/>
        <w:rPr>
          <w:rFonts w:ascii="宋体" w:hAnsi="宋体"/>
          <w:b/>
          <w:color w:val="auto"/>
          <w:sz w:val="22"/>
          <w:szCs w:val="22"/>
          <w:highlight w:val="none"/>
        </w:rPr>
      </w:pPr>
      <w:r>
        <w:rPr>
          <w:rFonts w:hint="eastAsia" w:ascii="宋体" w:hAnsi="宋体"/>
          <w:b/>
          <w:color w:val="auto"/>
          <w:sz w:val="22"/>
          <w:szCs w:val="22"/>
          <w:highlight w:val="none"/>
          <w:lang w:val="en-US" w:eastAsia="zh-CN"/>
        </w:rPr>
        <w:t>七、</w:t>
      </w:r>
      <w:r>
        <w:rPr>
          <w:rFonts w:hint="eastAsia" w:ascii="宋体" w:hAnsi="宋体"/>
          <w:b/>
          <w:color w:val="auto"/>
          <w:sz w:val="22"/>
          <w:szCs w:val="22"/>
          <w:highlight w:val="none"/>
        </w:rPr>
        <w:t>投标费用</w:t>
      </w:r>
    </w:p>
    <w:p w14:paraId="7D4EA7A5">
      <w:pPr>
        <w:keepNext w:val="0"/>
        <w:keepLines w:val="0"/>
        <w:pageBreakBefore w:val="0"/>
        <w:widowControl w:val="0"/>
        <w:kinsoku/>
        <w:wordWrap/>
        <w:overflowPunct/>
        <w:topLinePunct w:val="0"/>
        <w:autoSpaceDE w:val="0"/>
        <w:autoSpaceDN w:val="0"/>
        <w:bidi w:val="0"/>
        <w:adjustRightInd/>
        <w:snapToGrid w:val="0"/>
        <w:spacing w:line="312" w:lineRule="auto"/>
        <w:ind w:firstLine="440" w:firstLineChars="200"/>
        <w:textAlignment w:val="auto"/>
        <w:rPr>
          <w:rFonts w:hint="eastAsia" w:ascii="宋体" w:hAnsi="宋体"/>
          <w:color w:val="auto"/>
          <w:sz w:val="22"/>
          <w:szCs w:val="22"/>
          <w:highlight w:val="none"/>
        </w:rPr>
      </w:pPr>
      <w:r>
        <w:rPr>
          <w:rFonts w:hint="eastAsia" w:ascii="宋体" w:hAnsi="宋体"/>
          <w:color w:val="auto"/>
          <w:sz w:val="22"/>
          <w:szCs w:val="22"/>
          <w:highlight w:val="none"/>
        </w:rPr>
        <w:t>投标人应自行承担编制投标文件与递交投标文件所涉及的一切费用。购买招标文件，应支付费用</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u w:val="single"/>
        </w:rPr>
        <w:t xml:space="preserve">0 </w:t>
      </w:r>
      <w:r>
        <w:rPr>
          <w:rFonts w:hint="eastAsia" w:ascii="宋体" w:hAnsi="宋体"/>
          <w:color w:val="auto"/>
          <w:sz w:val="22"/>
          <w:szCs w:val="22"/>
          <w:highlight w:val="none"/>
        </w:rPr>
        <w:t>元，以上费用不退还。不论投标结果如何，招标人对上述费用不负任何责任。</w:t>
      </w:r>
    </w:p>
    <w:p w14:paraId="04F37366">
      <w:pPr>
        <w:keepLines w:val="0"/>
        <w:pageBreakBefore w:val="0"/>
        <w:wordWrap/>
        <w:overflowPunct/>
        <w:topLinePunct w:val="0"/>
        <w:bidi w:val="0"/>
        <w:snapToGrid w:val="0"/>
        <w:spacing w:line="312" w:lineRule="auto"/>
        <w:ind w:firstLine="482"/>
        <w:rPr>
          <w:rFonts w:hint="eastAsia"/>
          <w:b/>
          <w:color w:val="auto"/>
          <w:sz w:val="28"/>
          <w:szCs w:val="28"/>
          <w:highlight w:val="none"/>
        </w:rPr>
      </w:pPr>
      <w:r>
        <w:rPr>
          <w:rFonts w:hint="eastAsia"/>
          <w:b/>
          <w:color w:val="auto"/>
          <w:sz w:val="28"/>
          <w:szCs w:val="28"/>
          <w:highlight w:val="none"/>
          <w:lang w:eastAsia="zh-CN"/>
        </w:rPr>
        <w:t>八、</w:t>
      </w:r>
      <w:r>
        <w:rPr>
          <w:rFonts w:hint="eastAsia"/>
          <w:b/>
          <w:color w:val="auto"/>
          <w:sz w:val="28"/>
          <w:szCs w:val="28"/>
          <w:highlight w:val="none"/>
        </w:rPr>
        <w:t>踏勘现场</w:t>
      </w:r>
    </w:p>
    <w:p w14:paraId="54BD99D3">
      <w:pPr>
        <w:keepLines w:val="0"/>
        <w:pageBreakBefore w:val="0"/>
        <w:wordWrap/>
        <w:overflowPunct/>
        <w:topLinePunct w:val="0"/>
        <w:bidi w:val="0"/>
        <w:snapToGrid w:val="0"/>
        <w:spacing w:line="312" w:lineRule="auto"/>
        <w:ind w:firstLine="420"/>
        <w:rPr>
          <w:rFonts w:hint="eastAsia"/>
          <w:color w:val="auto"/>
          <w:sz w:val="22"/>
          <w:szCs w:val="28"/>
          <w:highlight w:val="none"/>
        </w:rPr>
      </w:pPr>
      <w:r>
        <w:rPr>
          <w:rFonts w:hint="eastAsia"/>
          <w:color w:val="auto"/>
          <w:sz w:val="22"/>
          <w:szCs w:val="28"/>
          <w:highlight w:val="none"/>
        </w:rPr>
        <w:t>1．投标人须知前附表规定组织踏勘现场的，招标人按投标人须知前附表规定的时间、地点组织投标人踏勘项目现场。投标人踏勘现场发生的费用自理。</w:t>
      </w:r>
    </w:p>
    <w:p w14:paraId="5F72044C">
      <w:pPr>
        <w:keepLines w:val="0"/>
        <w:pageBreakBefore w:val="0"/>
        <w:wordWrap/>
        <w:overflowPunct/>
        <w:topLinePunct w:val="0"/>
        <w:bidi w:val="0"/>
        <w:snapToGrid w:val="0"/>
        <w:spacing w:line="312" w:lineRule="auto"/>
        <w:ind w:firstLine="420"/>
        <w:rPr>
          <w:rFonts w:hint="eastAsia" w:ascii="宋体" w:hAnsi="宋体"/>
          <w:color w:val="auto"/>
          <w:sz w:val="22"/>
          <w:szCs w:val="22"/>
          <w:highlight w:val="none"/>
        </w:rPr>
      </w:pPr>
      <w:r>
        <w:rPr>
          <w:rFonts w:hint="eastAsia"/>
          <w:color w:val="auto"/>
          <w:sz w:val="22"/>
          <w:szCs w:val="28"/>
          <w:highlight w:val="none"/>
        </w:rPr>
        <w:t>2．投标人应认真踏勘工程项目现场，熟悉区域内的地形、道路及周围的环境，了解一切可能影响投标的资料。凡有影响投标的因素，均应考虑在投标文件中，一经中标，不能以不完全了解工程现场和周围环境等情况为借口而提出额外要求。投标人承担踏勘现场的责任和风险。</w:t>
      </w:r>
    </w:p>
    <w:p w14:paraId="4FC8C779">
      <w:pPr>
        <w:pStyle w:val="3"/>
        <w:keepLines w:val="0"/>
        <w:pageBreakBefore w:val="0"/>
        <w:wordWrap/>
        <w:overflowPunct/>
        <w:topLinePunct w:val="0"/>
        <w:bidi w:val="0"/>
        <w:snapToGrid w:val="0"/>
        <w:spacing w:before="0" w:after="0" w:line="312" w:lineRule="auto"/>
        <w:rPr>
          <w:color w:val="auto"/>
          <w:highlight w:val="none"/>
        </w:rPr>
      </w:pPr>
      <w:bookmarkStart w:id="11" w:name="_Toc29389651"/>
      <w:bookmarkStart w:id="12" w:name="_Toc4050"/>
      <w:r>
        <w:rPr>
          <w:rFonts w:hint="eastAsia"/>
          <w:color w:val="auto"/>
          <w:sz w:val="32"/>
          <w:szCs w:val="32"/>
          <w:highlight w:val="none"/>
        </w:rPr>
        <w:t>二、招标文件</w:t>
      </w:r>
      <w:bookmarkEnd w:id="11"/>
      <w:bookmarkEnd w:id="12"/>
    </w:p>
    <w:p w14:paraId="73453449">
      <w:pPr>
        <w:keepNext w:val="0"/>
        <w:keepLines w:val="0"/>
        <w:pageBreakBefore w:val="0"/>
        <w:widowControl w:val="0"/>
        <w:kinsoku/>
        <w:wordWrap/>
        <w:overflowPunct/>
        <w:topLinePunct w:val="0"/>
        <w:autoSpaceDE w:val="0"/>
        <w:autoSpaceDN w:val="0"/>
        <w:bidi w:val="0"/>
        <w:adjustRightInd/>
        <w:snapToGrid w:val="0"/>
        <w:spacing w:line="312" w:lineRule="auto"/>
        <w:ind w:firstLine="442" w:firstLineChars="200"/>
        <w:textAlignment w:val="auto"/>
        <w:rPr>
          <w:rFonts w:ascii="宋体" w:hAnsi="宋体" w:cs="Times New Roman"/>
          <w:b/>
          <w:color w:val="auto"/>
          <w:sz w:val="22"/>
          <w:szCs w:val="22"/>
          <w:highlight w:val="none"/>
          <w:lang w:val="zh-CN"/>
        </w:rPr>
      </w:pPr>
      <w:r>
        <w:rPr>
          <w:rFonts w:hint="eastAsia" w:ascii="宋体" w:hAnsi="宋体" w:cs="Times New Roman"/>
          <w:b/>
          <w:color w:val="auto"/>
          <w:sz w:val="22"/>
          <w:szCs w:val="22"/>
          <w:highlight w:val="none"/>
          <w:lang w:val="zh-CN"/>
        </w:rPr>
        <w:t>一、招标文件的组成</w:t>
      </w:r>
    </w:p>
    <w:p w14:paraId="62E9AE12">
      <w:pPr>
        <w:keepNext w:val="0"/>
        <w:keepLines w:val="0"/>
        <w:pageBreakBefore w:val="0"/>
        <w:widowControl w:val="0"/>
        <w:kinsoku/>
        <w:wordWrap/>
        <w:overflowPunct/>
        <w:topLinePunct w:val="0"/>
        <w:autoSpaceDE w:val="0"/>
        <w:autoSpaceDN w:val="0"/>
        <w:bidi w:val="0"/>
        <w:adjustRightInd/>
        <w:snapToGrid w:val="0"/>
        <w:spacing w:line="312" w:lineRule="auto"/>
        <w:ind w:firstLine="440" w:firstLineChars="200"/>
        <w:textAlignment w:val="auto"/>
        <w:rPr>
          <w:rFonts w:ascii="宋体" w:hAnsi="宋体" w:cs="Times New Roman"/>
          <w:color w:val="auto"/>
          <w:sz w:val="22"/>
          <w:szCs w:val="22"/>
          <w:highlight w:val="none"/>
          <w:lang w:val="zh-CN"/>
        </w:rPr>
      </w:pPr>
      <w:r>
        <w:rPr>
          <w:rFonts w:hint="eastAsia" w:ascii="宋体" w:hAnsi="宋体" w:cs="Times New Roman"/>
          <w:color w:val="auto"/>
          <w:sz w:val="22"/>
          <w:szCs w:val="22"/>
          <w:highlight w:val="none"/>
          <w:lang w:val="zh-CN"/>
        </w:rPr>
        <w:t>1</w:t>
      </w:r>
      <w:r>
        <w:rPr>
          <w:rFonts w:hint="eastAsia" w:ascii="宋体" w:hAnsi="宋体" w:cs="Times New Roman"/>
          <w:color w:val="auto"/>
          <w:sz w:val="22"/>
          <w:szCs w:val="22"/>
          <w:highlight w:val="none"/>
          <w:lang w:val="en-US" w:eastAsia="zh-CN"/>
        </w:rPr>
        <w:t>.</w:t>
      </w:r>
      <w:r>
        <w:rPr>
          <w:rFonts w:hint="eastAsia"/>
          <w:color w:val="auto"/>
          <w:sz w:val="22"/>
          <w:szCs w:val="28"/>
          <w:highlight w:val="none"/>
        </w:rPr>
        <w:t>本招标文件由前附表、投标须知、主要合同条款、招标答疑纪要、投标文件（封面格式及附表件）等组成等组成</w:t>
      </w:r>
      <w:r>
        <w:rPr>
          <w:rFonts w:hint="eastAsia" w:ascii="宋体" w:hAnsi="宋体" w:cs="Times New Roman"/>
          <w:color w:val="auto"/>
          <w:sz w:val="22"/>
          <w:szCs w:val="22"/>
          <w:highlight w:val="none"/>
          <w:lang w:val="zh-CN"/>
        </w:rPr>
        <w:t>。</w:t>
      </w:r>
    </w:p>
    <w:p w14:paraId="494442C0">
      <w:pPr>
        <w:keepNext w:val="0"/>
        <w:keepLines w:val="0"/>
        <w:pageBreakBefore w:val="0"/>
        <w:widowControl w:val="0"/>
        <w:kinsoku/>
        <w:wordWrap/>
        <w:overflowPunct/>
        <w:topLinePunct w:val="0"/>
        <w:bidi w:val="0"/>
        <w:adjustRightInd/>
        <w:snapToGrid w:val="0"/>
        <w:spacing w:line="312" w:lineRule="auto"/>
        <w:ind w:firstLine="420"/>
        <w:textAlignment w:val="auto"/>
        <w:rPr>
          <w:rFonts w:hint="eastAsia"/>
          <w:color w:val="auto"/>
          <w:sz w:val="22"/>
          <w:szCs w:val="28"/>
          <w:highlight w:val="none"/>
        </w:rPr>
      </w:pPr>
      <w:r>
        <w:rPr>
          <w:rFonts w:hint="eastAsia" w:ascii="宋体" w:hAnsi="宋体" w:cs="Times New Roman"/>
          <w:color w:val="auto"/>
          <w:sz w:val="22"/>
          <w:szCs w:val="22"/>
          <w:highlight w:val="none"/>
          <w:lang w:val="en-US" w:eastAsia="zh-CN"/>
        </w:rPr>
        <w:t>2.</w:t>
      </w:r>
      <w:r>
        <w:rPr>
          <w:rFonts w:hint="eastAsia"/>
          <w:color w:val="auto"/>
          <w:sz w:val="22"/>
          <w:szCs w:val="28"/>
          <w:highlight w:val="none"/>
        </w:rPr>
        <w:t xml:space="preserve">除第1条款内容外，招标人在提交投标文件截止时间 </w:t>
      </w:r>
      <w:r>
        <w:rPr>
          <w:rFonts w:hint="eastAsia"/>
          <w:color w:val="auto"/>
          <w:sz w:val="22"/>
          <w:szCs w:val="28"/>
          <w:highlight w:val="none"/>
          <w:lang w:val="en-US" w:eastAsia="zh-CN"/>
        </w:rPr>
        <w:t>3</w:t>
      </w:r>
      <w:r>
        <w:rPr>
          <w:rFonts w:hint="eastAsia"/>
          <w:color w:val="auto"/>
          <w:sz w:val="22"/>
          <w:szCs w:val="28"/>
          <w:highlight w:val="none"/>
        </w:rPr>
        <w:t xml:space="preserve"> 日前，以书面形式发出的对招标文件的澄清或修改内容，均为招标文件的组成部分，对招标人和投标人起约束作用。</w:t>
      </w:r>
    </w:p>
    <w:p w14:paraId="1D537344">
      <w:pPr>
        <w:keepNext w:val="0"/>
        <w:keepLines w:val="0"/>
        <w:pageBreakBefore w:val="0"/>
        <w:widowControl w:val="0"/>
        <w:kinsoku/>
        <w:wordWrap/>
        <w:overflowPunct/>
        <w:topLinePunct w:val="0"/>
        <w:autoSpaceDE w:val="0"/>
        <w:autoSpaceDN w:val="0"/>
        <w:bidi w:val="0"/>
        <w:adjustRightInd/>
        <w:snapToGrid w:val="0"/>
        <w:spacing w:line="312" w:lineRule="auto"/>
        <w:ind w:firstLine="440" w:firstLineChars="200"/>
        <w:textAlignment w:val="auto"/>
        <w:rPr>
          <w:rFonts w:ascii="宋体" w:hAnsi="宋体" w:cs="Times New Roman"/>
          <w:color w:val="auto"/>
          <w:sz w:val="22"/>
          <w:szCs w:val="22"/>
          <w:highlight w:val="none"/>
          <w:lang w:val="zh-CN"/>
        </w:rPr>
      </w:pPr>
      <w:r>
        <w:rPr>
          <w:rFonts w:hint="eastAsia" w:ascii="宋体" w:hAnsi="宋体" w:cs="Times New Roman"/>
          <w:color w:val="auto"/>
          <w:sz w:val="22"/>
          <w:szCs w:val="22"/>
          <w:highlight w:val="none"/>
          <w:lang w:val="en-US" w:eastAsia="zh-CN"/>
        </w:rPr>
        <w:t>3.</w:t>
      </w:r>
      <w:r>
        <w:rPr>
          <w:rFonts w:hint="eastAsia" w:ascii="宋体" w:hAnsi="宋体" w:cs="Times New Roman"/>
          <w:color w:val="auto"/>
          <w:sz w:val="22"/>
          <w:szCs w:val="22"/>
          <w:highlight w:val="none"/>
          <w:lang w:val="zh-CN"/>
        </w:rPr>
        <w:t>投标人应认真阅读招标文件中所有内容。如果投标人编制的投标文件实质上不响应招标文件要求，其投标文件将在开标会议时被招标人拒绝。</w:t>
      </w:r>
    </w:p>
    <w:p w14:paraId="51BD34E7">
      <w:pPr>
        <w:keepNext w:val="0"/>
        <w:keepLines w:val="0"/>
        <w:pageBreakBefore w:val="0"/>
        <w:widowControl w:val="0"/>
        <w:kinsoku/>
        <w:wordWrap/>
        <w:overflowPunct/>
        <w:topLinePunct w:val="0"/>
        <w:bidi w:val="0"/>
        <w:adjustRightInd/>
        <w:snapToGrid w:val="0"/>
        <w:spacing w:line="312" w:lineRule="auto"/>
        <w:ind w:firstLine="442" w:firstLineChars="200"/>
        <w:textAlignment w:val="auto"/>
        <w:rPr>
          <w:rFonts w:ascii="宋体" w:hAnsi="宋体"/>
          <w:b/>
          <w:color w:val="auto"/>
          <w:sz w:val="28"/>
          <w:szCs w:val="24"/>
          <w:highlight w:val="none"/>
        </w:rPr>
      </w:pPr>
      <w:r>
        <w:rPr>
          <w:rFonts w:hint="eastAsia" w:ascii="宋体" w:hAnsi="宋体" w:cs="Times New Roman"/>
          <w:b/>
          <w:color w:val="auto"/>
          <w:sz w:val="22"/>
          <w:szCs w:val="22"/>
          <w:highlight w:val="none"/>
          <w:lang w:val="zh-CN"/>
        </w:rPr>
        <w:t>二、</w:t>
      </w:r>
      <w:r>
        <w:rPr>
          <w:rFonts w:hint="eastAsia" w:ascii="宋体" w:hAnsi="宋体"/>
          <w:b/>
          <w:color w:val="auto"/>
          <w:sz w:val="28"/>
          <w:szCs w:val="24"/>
          <w:highlight w:val="none"/>
        </w:rPr>
        <w:t>招标文件的澄清或者修改</w:t>
      </w:r>
    </w:p>
    <w:p w14:paraId="14848D3C">
      <w:pPr>
        <w:keepNext w:val="0"/>
        <w:keepLines w:val="0"/>
        <w:pageBreakBefore w:val="0"/>
        <w:widowControl w:val="0"/>
        <w:kinsoku/>
        <w:wordWrap/>
        <w:overflowPunct/>
        <w:topLinePunct w:val="0"/>
        <w:bidi w:val="0"/>
        <w:adjustRightInd/>
        <w:snapToGrid w:val="0"/>
        <w:spacing w:line="312" w:lineRule="auto"/>
        <w:ind w:firstLine="440" w:firstLineChars="200"/>
        <w:textAlignment w:val="auto"/>
        <w:rPr>
          <w:rFonts w:hint="eastAsia"/>
          <w:color w:val="auto"/>
          <w:sz w:val="22"/>
          <w:szCs w:val="24"/>
          <w:highlight w:val="none"/>
        </w:rPr>
      </w:pPr>
      <w:r>
        <w:rPr>
          <w:rFonts w:hint="eastAsia"/>
          <w:color w:val="auto"/>
          <w:sz w:val="22"/>
          <w:szCs w:val="24"/>
          <w:highlight w:val="none"/>
        </w:rPr>
        <w:t>1．投标人应仔细阅读和检查招标文件的全部内容。</w:t>
      </w:r>
      <w:r>
        <w:rPr>
          <w:rFonts w:hint="eastAsia" w:ascii="宋体" w:hAnsi="宋体"/>
          <w:color w:val="auto"/>
          <w:sz w:val="22"/>
          <w:szCs w:val="22"/>
          <w:highlight w:val="none"/>
        </w:rPr>
        <w:t>如发现缺页或附件不全，应及时向招标人提出，以便补齐。</w:t>
      </w:r>
      <w:r>
        <w:rPr>
          <w:rFonts w:hint="eastAsia"/>
          <w:color w:val="auto"/>
          <w:sz w:val="22"/>
          <w:szCs w:val="24"/>
          <w:highlight w:val="none"/>
        </w:rPr>
        <w:t>如有疑问，应在投标人须知前附表规定的时间前以书面形式（包括信函、电报、传真等可以有形地表现所载内容的形式，下同），要求招标人对招标文件予以澄清。</w:t>
      </w:r>
    </w:p>
    <w:p w14:paraId="41FC0774">
      <w:pPr>
        <w:keepNext w:val="0"/>
        <w:keepLines w:val="0"/>
        <w:pageBreakBefore w:val="0"/>
        <w:widowControl w:val="0"/>
        <w:kinsoku/>
        <w:wordWrap/>
        <w:overflowPunct/>
        <w:topLinePunct w:val="0"/>
        <w:bidi w:val="0"/>
        <w:adjustRightInd/>
        <w:snapToGrid w:val="0"/>
        <w:spacing w:line="312" w:lineRule="auto"/>
        <w:ind w:firstLine="440" w:firstLineChars="200"/>
        <w:textAlignment w:val="auto"/>
        <w:rPr>
          <w:color w:val="auto"/>
          <w:sz w:val="22"/>
          <w:szCs w:val="22"/>
          <w:highlight w:val="none"/>
          <w:lang w:val="zh-CN"/>
        </w:rPr>
      </w:pPr>
      <w:r>
        <w:rPr>
          <w:rFonts w:hint="eastAsia"/>
          <w:color w:val="auto"/>
          <w:sz w:val="22"/>
          <w:szCs w:val="24"/>
          <w:highlight w:val="none"/>
        </w:rPr>
        <w:t>2．招标人可以对已发出的招标文件进行必要的澄清或者修改。澄清或者修改的内容可能影响投标文件编制的，招标人应当在投标截止时间至少</w:t>
      </w:r>
      <w:r>
        <w:rPr>
          <w:rFonts w:hint="eastAsia"/>
          <w:color w:val="auto"/>
          <w:sz w:val="22"/>
          <w:szCs w:val="24"/>
          <w:highlight w:val="none"/>
          <w:lang w:val="en-US" w:eastAsia="zh-CN"/>
        </w:rPr>
        <w:t>3</w:t>
      </w:r>
      <w:r>
        <w:rPr>
          <w:rFonts w:hint="eastAsia"/>
          <w:color w:val="auto"/>
          <w:sz w:val="22"/>
          <w:szCs w:val="24"/>
          <w:highlight w:val="none"/>
        </w:rPr>
        <w:t>日前，以书面形式通知所有获取招标文件的潜在投标人；不足</w:t>
      </w:r>
      <w:r>
        <w:rPr>
          <w:rFonts w:hint="eastAsia"/>
          <w:color w:val="auto"/>
          <w:sz w:val="22"/>
          <w:szCs w:val="24"/>
          <w:highlight w:val="none"/>
          <w:lang w:val="en-US" w:eastAsia="zh-CN"/>
        </w:rPr>
        <w:t>3</w:t>
      </w:r>
      <w:r>
        <w:rPr>
          <w:rFonts w:hint="eastAsia"/>
          <w:color w:val="auto"/>
          <w:sz w:val="22"/>
          <w:szCs w:val="24"/>
          <w:highlight w:val="none"/>
        </w:rPr>
        <w:t>日的，招标人应当顺延投标文件的截止时间。</w:t>
      </w:r>
    </w:p>
    <w:p w14:paraId="42629925">
      <w:pPr>
        <w:pStyle w:val="3"/>
        <w:keepLines w:val="0"/>
        <w:pageBreakBefore w:val="0"/>
        <w:wordWrap/>
        <w:overflowPunct/>
        <w:topLinePunct w:val="0"/>
        <w:bidi w:val="0"/>
        <w:snapToGrid w:val="0"/>
        <w:spacing w:before="0" w:after="0" w:line="312" w:lineRule="auto"/>
        <w:rPr>
          <w:rFonts w:ascii="宋体" w:hAnsi="宋体"/>
          <w:b/>
          <w:color w:val="auto"/>
          <w:sz w:val="32"/>
          <w:szCs w:val="32"/>
          <w:highlight w:val="none"/>
        </w:rPr>
      </w:pPr>
      <w:bookmarkStart w:id="13" w:name="_Toc29389652"/>
      <w:bookmarkStart w:id="14" w:name="_Toc16310"/>
      <w:r>
        <w:rPr>
          <w:rFonts w:hint="eastAsia"/>
          <w:color w:val="auto"/>
          <w:sz w:val="32"/>
          <w:szCs w:val="32"/>
          <w:highlight w:val="none"/>
        </w:rPr>
        <w:t>三、</w:t>
      </w:r>
      <w:r>
        <w:rPr>
          <w:rFonts w:hint="eastAsia"/>
          <w:color w:val="auto"/>
          <w:sz w:val="32"/>
          <w:szCs w:val="32"/>
          <w:highlight w:val="none"/>
          <w:lang w:eastAsia="zh-CN"/>
        </w:rPr>
        <w:t>投标报价</w:t>
      </w:r>
      <w:bookmarkEnd w:id="13"/>
      <w:bookmarkEnd w:id="14"/>
    </w:p>
    <w:p w14:paraId="5AA6A811">
      <w:pPr>
        <w:keepNext w:val="0"/>
        <w:keepLines w:val="0"/>
        <w:pageBreakBefore w:val="0"/>
        <w:widowControl w:val="0"/>
        <w:kinsoku/>
        <w:wordWrap/>
        <w:overflowPunct/>
        <w:topLinePunct w:val="0"/>
        <w:autoSpaceDE/>
        <w:autoSpaceDN/>
        <w:bidi w:val="0"/>
        <w:adjustRightInd/>
        <w:snapToGrid w:val="0"/>
        <w:spacing w:line="312" w:lineRule="auto"/>
        <w:ind w:firstLine="442" w:firstLineChars="200"/>
        <w:textAlignment w:val="auto"/>
        <w:rPr>
          <w:rFonts w:ascii="宋体" w:hAnsi="宋体"/>
          <w:b/>
          <w:color w:val="auto"/>
          <w:sz w:val="22"/>
          <w:szCs w:val="22"/>
          <w:highlight w:val="none"/>
        </w:rPr>
      </w:pPr>
      <w:r>
        <w:rPr>
          <w:rFonts w:hint="eastAsia" w:ascii="宋体" w:hAnsi="宋体"/>
          <w:b/>
          <w:color w:val="auto"/>
          <w:sz w:val="22"/>
          <w:szCs w:val="22"/>
          <w:highlight w:val="none"/>
        </w:rPr>
        <w:t>（一）投标报价</w:t>
      </w:r>
    </w:p>
    <w:p w14:paraId="3A97E805">
      <w:pPr>
        <w:keepNext w:val="0"/>
        <w:keepLines w:val="0"/>
        <w:pageBreakBefore w:val="0"/>
        <w:widowControl w:val="0"/>
        <w:kinsoku/>
        <w:wordWrap/>
        <w:overflowPunct/>
        <w:topLinePunct w:val="0"/>
        <w:autoSpaceDE/>
        <w:autoSpaceDN/>
        <w:bidi w:val="0"/>
        <w:adjustRightInd/>
        <w:snapToGrid w:val="0"/>
        <w:spacing w:line="312" w:lineRule="auto"/>
        <w:ind w:firstLine="420"/>
        <w:jc w:val="left"/>
        <w:textAlignment w:val="auto"/>
        <w:rPr>
          <w:rFonts w:hint="eastAsia"/>
          <w:color w:val="auto"/>
          <w:sz w:val="22"/>
          <w:szCs w:val="22"/>
          <w:highlight w:val="none"/>
        </w:rPr>
      </w:pPr>
      <w:r>
        <w:rPr>
          <w:rFonts w:hint="eastAsia"/>
          <w:color w:val="auto"/>
          <w:sz w:val="22"/>
          <w:szCs w:val="22"/>
          <w:highlight w:val="none"/>
        </w:rPr>
        <w:t>1、投标人根据市场行情和招标人提供的资料自主报价，投标人报价时应充分考虑现场工作条件及周围环境特点。</w:t>
      </w:r>
    </w:p>
    <w:p w14:paraId="3BFADB3F">
      <w:pPr>
        <w:keepNext w:val="0"/>
        <w:keepLines w:val="0"/>
        <w:pageBreakBefore w:val="0"/>
        <w:widowControl w:val="0"/>
        <w:kinsoku/>
        <w:wordWrap/>
        <w:overflowPunct/>
        <w:topLinePunct w:val="0"/>
        <w:autoSpaceDE/>
        <w:autoSpaceDN/>
        <w:bidi w:val="0"/>
        <w:adjustRightInd/>
        <w:snapToGrid w:val="0"/>
        <w:spacing w:line="312" w:lineRule="auto"/>
        <w:ind w:firstLine="442" w:firstLineChars="200"/>
        <w:textAlignment w:val="auto"/>
        <w:rPr>
          <w:rFonts w:hint="eastAsia" w:ascii="宋体" w:hAnsi="宋体"/>
          <w:b/>
          <w:bCs/>
          <w:color w:val="auto"/>
          <w:sz w:val="22"/>
          <w:szCs w:val="22"/>
          <w:highlight w:val="none"/>
        </w:rPr>
      </w:pPr>
      <w:r>
        <w:rPr>
          <w:rFonts w:hint="eastAsia"/>
          <w:b/>
          <w:color w:val="auto"/>
          <w:sz w:val="22"/>
          <w:szCs w:val="22"/>
          <w:highlight w:val="none"/>
        </w:rPr>
        <w:t>报价中应包括</w:t>
      </w:r>
      <w:r>
        <w:rPr>
          <w:rFonts w:hint="eastAsia" w:ascii="宋体" w:hAnsi="宋体"/>
          <w:b/>
          <w:bCs/>
          <w:color w:val="auto"/>
          <w:kern w:val="0"/>
          <w:sz w:val="22"/>
          <w:szCs w:val="22"/>
          <w:highlight w:val="none"/>
        </w:rPr>
        <w:t>实施本项目所需的</w:t>
      </w:r>
      <w:r>
        <w:rPr>
          <w:rFonts w:hint="eastAsia" w:ascii="宋体" w:hAnsi="宋体"/>
          <w:b/>
          <w:bCs/>
          <w:color w:val="auto"/>
          <w:kern w:val="0"/>
          <w:sz w:val="22"/>
          <w:szCs w:val="22"/>
          <w:highlight w:val="none"/>
          <w:lang w:val="en-US" w:eastAsia="zh-CN"/>
        </w:rPr>
        <w:t>货物价款、</w:t>
      </w:r>
      <w:r>
        <w:rPr>
          <w:rFonts w:hint="eastAsia" w:ascii="宋体" w:hAnsi="宋体"/>
          <w:b/>
          <w:bCs/>
          <w:color w:val="auto"/>
          <w:kern w:val="0"/>
          <w:sz w:val="22"/>
          <w:szCs w:val="22"/>
          <w:highlight w:val="none"/>
        </w:rPr>
        <w:t>人工、机械、材料、管理、保险、利润、税费、</w:t>
      </w:r>
      <w:r>
        <w:rPr>
          <w:rFonts w:hint="eastAsia" w:ascii="宋体" w:hAnsi="宋体"/>
          <w:b/>
          <w:bCs/>
          <w:color w:val="auto"/>
          <w:kern w:val="0"/>
          <w:sz w:val="22"/>
          <w:szCs w:val="22"/>
          <w:highlight w:val="none"/>
          <w:lang w:val="en-US" w:eastAsia="zh-CN"/>
        </w:rPr>
        <w:t>检测</w:t>
      </w:r>
      <w:r>
        <w:rPr>
          <w:rFonts w:hint="eastAsia" w:ascii="宋体" w:hAnsi="宋体"/>
          <w:b/>
          <w:bCs/>
          <w:color w:val="auto"/>
          <w:kern w:val="0"/>
          <w:sz w:val="22"/>
          <w:szCs w:val="22"/>
          <w:highlight w:val="none"/>
        </w:rPr>
        <w:t>、技术服务等所需的一切相关费用。</w:t>
      </w:r>
    </w:p>
    <w:p w14:paraId="1E114780">
      <w:pPr>
        <w:keepNext w:val="0"/>
        <w:keepLines w:val="0"/>
        <w:pageBreakBefore w:val="0"/>
        <w:widowControl w:val="0"/>
        <w:tabs>
          <w:tab w:val="left" w:pos="0"/>
        </w:tabs>
        <w:kinsoku/>
        <w:wordWrap/>
        <w:overflowPunct/>
        <w:topLinePunct w:val="0"/>
        <w:autoSpaceDE/>
        <w:autoSpaceDN/>
        <w:bidi w:val="0"/>
        <w:adjustRightInd/>
        <w:snapToGrid w:val="0"/>
        <w:spacing w:line="312" w:lineRule="auto"/>
        <w:ind w:firstLine="420"/>
        <w:textAlignment w:val="auto"/>
        <w:rPr>
          <w:rFonts w:hint="eastAsia"/>
          <w:color w:val="auto"/>
          <w:sz w:val="22"/>
          <w:szCs w:val="22"/>
          <w:highlight w:val="none"/>
        </w:rPr>
      </w:pPr>
      <w:r>
        <w:rPr>
          <w:rFonts w:hint="eastAsia"/>
          <w:color w:val="auto"/>
          <w:sz w:val="22"/>
          <w:szCs w:val="22"/>
          <w:highlight w:val="none"/>
        </w:rPr>
        <w:t>2、投标报价书写规范说明：</w:t>
      </w:r>
    </w:p>
    <w:p w14:paraId="623CF6A7">
      <w:pPr>
        <w:keepNext w:val="0"/>
        <w:keepLines w:val="0"/>
        <w:pageBreakBefore w:val="0"/>
        <w:widowControl w:val="0"/>
        <w:tabs>
          <w:tab w:val="left" w:pos="0"/>
        </w:tabs>
        <w:kinsoku/>
        <w:wordWrap/>
        <w:overflowPunct/>
        <w:topLinePunct w:val="0"/>
        <w:autoSpaceDE/>
        <w:autoSpaceDN/>
        <w:bidi w:val="0"/>
        <w:adjustRightInd/>
        <w:snapToGrid w:val="0"/>
        <w:spacing w:line="312" w:lineRule="auto"/>
        <w:ind w:firstLine="420"/>
        <w:textAlignment w:val="auto"/>
        <w:rPr>
          <w:rFonts w:hint="eastAsia"/>
          <w:color w:val="auto"/>
          <w:sz w:val="22"/>
          <w:szCs w:val="22"/>
          <w:highlight w:val="none"/>
        </w:rPr>
      </w:pPr>
      <w:r>
        <w:rPr>
          <w:rFonts w:hint="eastAsia"/>
          <w:color w:val="auto"/>
          <w:sz w:val="22"/>
          <w:szCs w:val="22"/>
          <w:highlight w:val="none"/>
        </w:rPr>
        <w:t>①投标文件中报价填写要求为大写的，应用中文（中文大、小写均可）书写，数值表述清晰即可，但不得出现阿拉伯数字、标点符号或者中文以外的其他文字；填写要求为小写的或者不作要求的，均应采用阿拉伯数字和数学符号（如“.”、“%”等）书写，不得出现中文或其他文字。不满足以上书写规范要求或者未填写的，相应的投标文件作废标处理。</w:t>
      </w:r>
    </w:p>
    <w:p w14:paraId="3AE15EE0">
      <w:pPr>
        <w:keepNext w:val="0"/>
        <w:keepLines w:val="0"/>
        <w:pageBreakBefore w:val="0"/>
        <w:widowControl w:val="0"/>
        <w:tabs>
          <w:tab w:val="left" w:pos="0"/>
        </w:tabs>
        <w:kinsoku/>
        <w:wordWrap/>
        <w:overflowPunct/>
        <w:topLinePunct w:val="0"/>
        <w:autoSpaceDE/>
        <w:autoSpaceDN/>
        <w:bidi w:val="0"/>
        <w:adjustRightInd/>
        <w:snapToGrid w:val="0"/>
        <w:spacing w:line="312" w:lineRule="auto"/>
        <w:ind w:firstLine="420"/>
        <w:textAlignment w:val="auto"/>
        <w:rPr>
          <w:rFonts w:hint="eastAsia"/>
          <w:color w:val="auto"/>
          <w:sz w:val="22"/>
          <w:szCs w:val="22"/>
          <w:highlight w:val="none"/>
        </w:rPr>
      </w:pPr>
      <w:r>
        <w:rPr>
          <w:rFonts w:hint="eastAsia"/>
          <w:color w:val="auto"/>
          <w:sz w:val="22"/>
          <w:szCs w:val="22"/>
          <w:highlight w:val="none"/>
        </w:rPr>
        <w:t>②投标文件中对同一内容有多处报价的，出现报价不一致时，按以下办法处理：</w:t>
      </w:r>
    </w:p>
    <w:p w14:paraId="36DF2207">
      <w:pPr>
        <w:keepNext w:val="0"/>
        <w:keepLines w:val="0"/>
        <w:pageBreakBefore w:val="0"/>
        <w:widowControl w:val="0"/>
        <w:tabs>
          <w:tab w:val="left" w:pos="0"/>
        </w:tabs>
        <w:kinsoku/>
        <w:wordWrap/>
        <w:overflowPunct/>
        <w:topLinePunct w:val="0"/>
        <w:autoSpaceDE/>
        <w:autoSpaceDN/>
        <w:bidi w:val="0"/>
        <w:adjustRightInd/>
        <w:snapToGrid w:val="0"/>
        <w:spacing w:line="312" w:lineRule="auto"/>
        <w:ind w:firstLine="420"/>
        <w:textAlignment w:val="auto"/>
        <w:rPr>
          <w:rFonts w:hint="eastAsia"/>
          <w:color w:val="auto"/>
          <w:sz w:val="22"/>
          <w:szCs w:val="22"/>
          <w:highlight w:val="none"/>
        </w:rPr>
      </w:pPr>
      <w:r>
        <w:rPr>
          <w:rFonts w:hint="eastAsia"/>
          <w:color w:val="auto"/>
          <w:sz w:val="22"/>
          <w:szCs w:val="22"/>
          <w:highlight w:val="none"/>
        </w:rPr>
        <w:t>（1）大写与小写不一致的，以大写为准（大写或者小写书写不规范的，或未填写的按第“①”条处理）；</w:t>
      </w:r>
    </w:p>
    <w:p w14:paraId="426417F4">
      <w:pPr>
        <w:keepNext w:val="0"/>
        <w:keepLines w:val="0"/>
        <w:pageBreakBefore w:val="0"/>
        <w:widowControl w:val="0"/>
        <w:tabs>
          <w:tab w:val="left" w:pos="0"/>
        </w:tabs>
        <w:kinsoku/>
        <w:wordWrap/>
        <w:overflowPunct/>
        <w:topLinePunct w:val="0"/>
        <w:autoSpaceDE/>
        <w:autoSpaceDN/>
        <w:bidi w:val="0"/>
        <w:adjustRightInd/>
        <w:snapToGrid w:val="0"/>
        <w:spacing w:line="312" w:lineRule="auto"/>
        <w:ind w:firstLine="420"/>
        <w:textAlignment w:val="auto"/>
        <w:rPr>
          <w:rFonts w:hint="eastAsia"/>
          <w:color w:val="auto"/>
          <w:sz w:val="22"/>
          <w:szCs w:val="22"/>
          <w:highlight w:val="none"/>
        </w:rPr>
      </w:pPr>
      <w:r>
        <w:rPr>
          <w:rFonts w:hint="eastAsia"/>
          <w:color w:val="auto"/>
          <w:sz w:val="22"/>
          <w:szCs w:val="22"/>
          <w:highlight w:val="none"/>
        </w:rPr>
        <w:t>（2）有二个及以上大写报价且数值大小有不一致的，按废标处理；</w:t>
      </w:r>
    </w:p>
    <w:p w14:paraId="136B5884">
      <w:pPr>
        <w:keepNext w:val="0"/>
        <w:keepLines w:val="0"/>
        <w:pageBreakBefore w:val="0"/>
        <w:widowControl w:val="0"/>
        <w:tabs>
          <w:tab w:val="left" w:pos="0"/>
        </w:tabs>
        <w:kinsoku/>
        <w:wordWrap/>
        <w:overflowPunct/>
        <w:topLinePunct w:val="0"/>
        <w:autoSpaceDE/>
        <w:autoSpaceDN/>
        <w:bidi w:val="0"/>
        <w:adjustRightInd/>
        <w:snapToGrid w:val="0"/>
        <w:spacing w:line="312" w:lineRule="auto"/>
        <w:ind w:firstLine="420"/>
        <w:textAlignment w:val="auto"/>
        <w:rPr>
          <w:rFonts w:hint="eastAsia"/>
          <w:color w:val="auto"/>
          <w:sz w:val="21"/>
          <w:szCs w:val="21"/>
          <w:highlight w:val="none"/>
        </w:rPr>
      </w:pPr>
      <w:r>
        <w:rPr>
          <w:rFonts w:hint="eastAsia"/>
          <w:color w:val="auto"/>
          <w:sz w:val="22"/>
          <w:szCs w:val="22"/>
          <w:highlight w:val="none"/>
        </w:rPr>
        <w:t>（3）无大写报价的，但有二个以上小写报价且数值大小有不一致的，按废标处理。</w:t>
      </w:r>
    </w:p>
    <w:p w14:paraId="2E0CD7D7">
      <w:pPr>
        <w:pStyle w:val="3"/>
        <w:keepLines w:val="0"/>
        <w:pageBreakBefore w:val="0"/>
        <w:wordWrap/>
        <w:overflowPunct/>
        <w:topLinePunct w:val="0"/>
        <w:bidi w:val="0"/>
        <w:snapToGrid w:val="0"/>
        <w:spacing w:before="0" w:after="0" w:line="312" w:lineRule="auto"/>
        <w:rPr>
          <w:rFonts w:hint="eastAsia" w:ascii="宋体" w:hAnsi="宋体"/>
          <w:b/>
          <w:color w:val="auto"/>
          <w:sz w:val="24"/>
          <w:highlight w:val="none"/>
        </w:rPr>
      </w:pPr>
      <w:r>
        <w:rPr>
          <w:rFonts w:hint="eastAsia" w:eastAsia="宋体" w:cs="Times New Roman"/>
          <w:color w:val="auto"/>
          <w:sz w:val="32"/>
          <w:szCs w:val="32"/>
          <w:highlight w:val="none"/>
          <w:lang w:eastAsia="zh-CN"/>
        </w:rPr>
        <w:t>四、</w:t>
      </w:r>
      <w:r>
        <w:rPr>
          <w:rFonts w:hint="eastAsia" w:eastAsia="宋体" w:cs="Times New Roman"/>
          <w:color w:val="auto"/>
          <w:sz w:val="32"/>
          <w:szCs w:val="32"/>
          <w:highlight w:val="none"/>
        </w:rPr>
        <w:t>投标文件的编制</w:t>
      </w:r>
    </w:p>
    <w:p w14:paraId="1B99B85D">
      <w:pPr>
        <w:keepNext w:val="0"/>
        <w:keepLines w:val="0"/>
        <w:pageBreakBefore w:val="0"/>
        <w:widowControl w:val="0"/>
        <w:kinsoku/>
        <w:wordWrap/>
        <w:overflowPunct/>
        <w:topLinePunct w:val="0"/>
        <w:bidi w:val="0"/>
        <w:snapToGrid w:val="0"/>
        <w:spacing w:line="312" w:lineRule="auto"/>
        <w:ind w:firstLine="442" w:firstLineChars="200"/>
        <w:textAlignment w:val="auto"/>
        <w:rPr>
          <w:rFonts w:hint="eastAsia"/>
          <w:b/>
          <w:color w:val="auto"/>
          <w:sz w:val="22"/>
          <w:szCs w:val="22"/>
          <w:highlight w:val="none"/>
        </w:rPr>
      </w:pPr>
      <w:r>
        <w:rPr>
          <w:rFonts w:hint="eastAsia"/>
          <w:b/>
          <w:color w:val="auto"/>
          <w:sz w:val="22"/>
          <w:szCs w:val="22"/>
          <w:highlight w:val="none"/>
          <w:lang w:eastAsia="zh-CN"/>
        </w:rPr>
        <w:t>（一）</w:t>
      </w:r>
      <w:r>
        <w:rPr>
          <w:rFonts w:hint="eastAsia"/>
          <w:b/>
          <w:color w:val="auto"/>
          <w:sz w:val="22"/>
          <w:szCs w:val="22"/>
          <w:highlight w:val="none"/>
        </w:rPr>
        <w:t>投标文件的语言及度量衡单位</w:t>
      </w:r>
    </w:p>
    <w:p w14:paraId="03C17B8F">
      <w:pPr>
        <w:keepNext w:val="0"/>
        <w:keepLines w:val="0"/>
        <w:pageBreakBefore w:val="0"/>
        <w:widowControl w:val="0"/>
        <w:kinsoku/>
        <w:wordWrap/>
        <w:overflowPunct/>
        <w:topLinePunct w:val="0"/>
        <w:bidi w:val="0"/>
        <w:snapToGrid w:val="0"/>
        <w:spacing w:line="312" w:lineRule="auto"/>
        <w:ind w:firstLine="440" w:firstLineChars="200"/>
        <w:textAlignment w:val="auto"/>
        <w:rPr>
          <w:rFonts w:hint="eastAsia"/>
          <w:color w:val="auto"/>
          <w:sz w:val="22"/>
          <w:szCs w:val="22"/>
          <w:highlight w:val="none"/>
        </w:rPr>
      </w:pPr>
      <w:r>
        <w:rPr>
          <w:rFonts w:hint="eastAsia"/>
          <w:color w:val="auto"/>
          <w:sz w:val="22"/>
          <w:szCs w:val="22"/>
          <w:highlight w:val="none"/>
        </w:rPr>
        <w:t>1．投标文件和与投标有关的所有文件均应使用中文。</w:t>
      </w:r>
    </w:p>
    <w:p w14:paraId="3C7F8CDE">
      <w:pPr>
        <w:keepNext w:val="0"/>
        <w:keepLines w:val="0"/>
        <w:pageBreakBefore w:val="0"/>
        <w:widowControl w:val="0"/>
        <w:kinsoku/>
        <w:wordWrap/>
        <w:overflowPunct/>
        <w:topLinePunct w:val="0"/>
        <w:bidi w:val="0"/>
        <w:snapToGrid w:val="0"/>
        <w:spacing w:line="312" w:lineRule="auto"/>
        <w:ind w:firstLine="440" w:firstLineChars="200"/>
        <w:jc w:val="left"/>
        <w:textAlignment w:val="auto"/>
        <w:rPr>
          <w:rFonts w:hint="eastAsia"/>
          <w:color w:val="auto"/>
          <w:sz w:val="22"/>
          <w:szCs w:val="22"/>
          <w:highlight w:val="none"/>
        </w:rPr>
      </w:pPr>
      <w:r>
        <w:rPr>
          <w:rFonts w:hint="eastAsia"/>
          <w:color w:val="auto"/>
          <w:sz w:val="22"/>
          <w:szCs w:val="22"/>
          <w:highlight w:val="none"/>
        </w:rPr>
        <w:t>2．除工程规范原有的规定外，投标文件使用的度量衡单位均采用中华人民共和国法定计量单位。</w:t>
      </w:r>
    </w:p>
    <w:p w14:paraId="55179B5D">
      <w:pPr>
        <w:keepNext w:val="0"/>
        <w:keepLines w:val="0"/>
        <w:pageBreakBefore w:val="0"/>
        <w:widowControl w:val="0"/>
        <w:kinsoku/>
        <w:wordWrap/>
        <w:overflowPunct/>
        <w:topLinePunct w:val="0"/>
        <w:bidi w:val="0"/>
        <w:snapToGrid w:val="0"/>
        <w:spacing w:line="312" w:lineRule="auto"/>
        <w:ind w:firstLine="442" w:firstLineChars="200"/>
        <w:textAlignment w:val="auto"/>
        <w:rPr>
          <w:rFonts w:ascii="宋体" w:hAnsi="宋体"/>
          <w:b/>
          <w:color w:val="auto"/>
          <w:sz w:val="22"/>
          <w:szCs w:val="22"/>
          <w:highlight w:val="none"/>
        </w:rPr>
      </w:pPr>
      <w:r>
        <w:rPr>
          <w:rFonts w:hint="eastAsia" w:ascii="宋体" w:hAnsi="宋体"/>
          <w:b/>
          <w:color w:val="auto"/>
          <w:sz w:val="22"/>
          <w:szCs w:val="22"/>
          <w:highlight w:val="none"/>
        </w:rPr>
        <w:t>（二）投标文件的组成</w:t>
      </w:r>
    </w:p>
    <w:p w14:paraId="76A136DE">
      <w:pPr>
        <w:keepNext w:val="0"/>
        <w:keepLines w:val="0"/>
        <w:pageBreakBefore w:val="0"/>
        <w:widowControl w:val="0"/>
        <w:kinsoku/>
        <w:wordWrap/>
        <w:overflowPunct/>
        <w:topLinePunct w:val="0"/>
        <w:autoSpaceDE w:val="0"/>
        <w:autoSpaceDN w:val="0"/>
        <w:bidi w:val="0"/>
        <w:adjustRightInd w:val="0"/>
        <w:snapToGrid w:val="0"/>
        <w:spacing w:line="312" w:lineRule="auto"/>
        <w:ind w:firstLine="440" w:firstLineChars="200"/>
        <w:textAlignment w:val="auto"/>
        <w:rPr>
          <w:rFonts w:hint="eastAsia"/>
          <w:color w:val="auto"/>
          <w:sz w:val="22"/>
          <w:szCs w:val="28"/>
          <w:highlight w:val="none"/>
        </w:rPr>
      </w:pPr>
      <w:r>
        <w:rPr>
          <w:rFonts w:hint="eastAsia"/>
          <w:color w:val="auto"/>
          <w:sz w:val="22"/>
          <w:szCs w:val="28"/>
          <w:highlight w:val="none"/>
        </w:rPr>
        <w:t>投标人的投标文件包括：资格审查资料</w:t>
      </w:r>
      <w:r>
        <w:rPr>
          <w:rFonts w:hint="eastAsia"/>
          <w:color w:val="auto"/>
          <w:sz w:val="22"/>
          <w:szCs w:val="28"/>
          <w:highlight w:val="none"/>
          <w:lang w:eastAsia="zh-CN"/>
        </w:rPr>
        <w:t>、技术标</w:t>
      </w:r>
      <w:r>
        <w:rPr>
          <w:rFonts w:hint="eastAsia"/>
          <w:color w:val="auto"/>
          <w:sz w:val="22"/>
          <w:szCs w:val="28"/>
          <w:highlight w:val="none"/>
        </w:rPr>
        <w:t>和商务标</w:t>
      </w:r>
      <w:r>
        <w:rPr>
          <w:rFonts w:hint="eastAsia"/>
          <w:color w:val="auto"/>
          <w:sz w:val="22"/>
          <w:szCs w:val="28"/>
          <w:highlight w:val="none"/>
          <w:lang w:eastAsia="zh-CN"/>
        </w:rPr>
        <w:t>三</w:t>
      </w:r>
      <w:r>
        <w:rPr>
          <w:rFonts w:hint="eastAsia"/>
          <w:color w:val="auto"/>
          <w:sz w:val="22"/>
          <w:szCs w:val="28"/>
          <w:highlight w:val="none"/>
        </w:rPr>
        <w:t>部分；</w:t>
      </w:r>
    </w:p>
    <w:p w14:paraId="127CCF72">
      <w:pPr>
        <w:keepNext w:val="0"/>
        <w:keepLines w:val="0"/>
        <w:pageBreakBefore w:val="0"/>
        <w:widowControl w:val="0"/>
        <w:kinsoku/>
        <w:wordWrap/>
        <w:overflowPunct/>
        <w:topLinePunct w:val="0"/>
        <w:autoSpaceDE w:val="0"/>
        <w:autoSpaceDN w:val="0"/>
        <w:bidi w:val="0"/>
        <w:adjustRightInd w:val="0"/>
        <w:snapToGrid w:val="0"/>
        <w:spacing w:line="312" w:lineRule="auto"/>
        <w:ind w:firstLine="442" w:firstLineChars="200"/>
        <w:textAlignment w:val="auto"/>
        <w:rPr>
          <w:rFonts w:hint="eastAsia" w:ascii="宋体" w:hAnsi="宋体"/>
          <w:b/>
          <w:bCs/>
          <w:color w:val="auto"/>
          <w:sz w:val="22"/>
          <w:szCs w:val="22"/>
          <w:highlight w:val="none"/>
        </w:rPr>
      </w:pPr>
      <w:r>
        <w:rPr>
          <w:rFonts w:hint="eastAsia" w:ascii="宋体" w:hAnsi="宋体"/>
          <w:b/>
          <w:bCs/>
          <w:color w:val="auto"/>
          <w:sz w:val="22"/>
          <w:szCs w:val="22"/>
          <w:highlight w:val="none"/>
        </w:rPr>
        <w:t>1.资格审查资料包括内容：</w:t>
      </w:r>
    </w:p>
    <w:p w14:paraId="4C33297B">
      <w:pPr>
        <w:keepNext w:val="0"/>
        <w:keepLines w:val="0"/>
        <w:pageBreakBefore w:val="0"/>
        <w:widowControl w:val="0"/>
        <w:kinsoku/>
        <w:wordWrap/>
        <w:overflowPunct/>
        <w:topLinePunct w:val="0"/>
        <w:bidi w:val="0"/>
        <w:snapToGrid w:val="0"/>
        <w:spacing w:line="312" w:lineRule="auto"/>
        <w:ind w:firstLine="440" w:firstLineChars="200"/>
        <w:textAlignment w:val="auto"/>
        <w:rPr>
          <w:rFonts w:hint="eastAsia" w:ascii="宋体" w:hAnsi="宋体"/>
          <w:color w:val="auto"/>
          <w:sz w:val="22"/>
          <w:szCs w:val="22"/>
          <w:highlight w:val="none"/>
          <w:lang w:eastAsia="zh-CN"/>
        </w:rPr>
      </w:pPr>
      <w:r>
        <w:rPr>
          <w:rFonts w:hint="eastAsia" w:ascii="宋体" w:hAnsi="宋体"/>
          <w:color w:val="auto"/>
          <w:sz w:val="22"/>
          <w:szCs w:val="22"/>
          <w:highlight w:val="none"/>
          <w:lang w:val="en-US" w:eastAsia="zh-CN"/>
        </w:rPr>
        <w:t>1.1</w:t>
      </w:r>
      <w:r>
        <w:rPr>
          <w:rFonts w:hint="eastAsia" w:ascii="宋体" w:hAnsi="宋体"/>
          <w:color w:val="auto"/>
          <w:sz w:val="22"/>
          <w:szCs w:val="22"/>
          <w:highlight w:val="none"/>
        </w:rPr>
        <w:t>封面</w:t>
      </w:r>
      <w:r>
        <w:rPr>
          <w:rFonts w:hint="eastAsia"/>
          <w:color w:val="auto"/>
          <w:sz w:val="22"/>
          <w:szCs w:val="28"/>
          <w:highlight w:val="none"/>
        </w:rPr>
        <w:t>（格式见后）</w:t>
      </w:r>
      <w:r>
        <w:rPr>
          <w:rFonts w:hint="eastAsia" w:ascii="宋体" w:hAnsi="宋体"/>
          <w:color w:val="auto"/>
          <w:sz w:val="22"/>
          <w:szCs w:val="22"/>
          <w:highlight w:val="none"/>
          <w:lang w:eastAsia="zh-CN"/>
        </w:rPr>
        <w:t>；</w:t>
      </w:r>
    </w:p>
    <w:p w14:paraId="306A143E">
      <w:pPr>
        <w:keepNext w:val="0"/>
        <w:keepLines w:val="0"/>
        <w:pageBreakBefore w:val="0"/>
        <w:widowControl w:val="0"/>
        <w:kinsoku/>
        <w:wordWrap/>
        <w:overflowPunct/>
        <w:topLinePunct w:val="0"/>
        <w:bidi w:val="0"/>
        <w:snapToGrid w:val="0"/>
        <w:spacing w:line="312" w:lineRule="auto"/>
        <w:ind w:firstLine="440" w:firstLineChars="200"/>
        <w:textAlignment w:val="auto"/>
        <w:rPr>
          <w:rFonts w:hint="eastAsia" w:ascii="宋体" w:hAnsi="宋体" w:eastAsia="宋体"/>
          <w:color w:val="auto"/>
          <w:sz w:val="22"/>
          <w:szCs w:val="22"/>
          <w:highlight w:val="none"/>
          <w:lang w:eastAsia="zh-CN"/>
        </w:rPr>
      </w:pPr>
      <w:r>
        <w:rPr>
          <w:rFonts w:hint="eastAsia" w:ascii="宋体" w:hAnsi="宋体"/>
          <w:color w:val="auto"/>
          <w:sz w:val="22"/>
          <w:szCs w:val="22"/>
          <w:highlight w:val="none"/>
          <w:lang w:val="en-US" w:eastAsia="zh-CN"/>
        </w:rPr>
        <w:t>1.2</w:t>
      </w:r>
      <w:r>
        <w:rPr>
          <w:rFonts w:hint="eastAsia" w:ascii="宋体" w:hAnsi="宋体"/>
          <w:color w:val="auto"/>
          <w:sz w:val="22"/>
          <w:szCs w:val="22"/>
          <w:highlight w:val="none"/>
        </w:rPr>
        <w:t>法定代表人身份证明</w:t>
      </w:r>
      <w:r>
        <w:rPr>
          <w:rFonts w:hint="eastAsia"/>
          <w:color w:val="auto"/>
          <w:sz w:val="22"/>
          <w:szCs w:val="28"/>
          <w:highlight w:val="none"/>
        </w:rPr>
        <w:t>（格式见后）</w:t>
      </w:r>
      <w:r>
        <w:rPr>
          <w:rFonts w:hint="eastAsia" w:ascii="宋体" w:hAnsi="宋体"/>
          <w:color w:val="auto"/>
          <w:sz w:val="22"/>
          <w:szCs w:val="22"/>
          <w:highlight w:val="none"/>
          <w:lang w:eastAsia="zh-CN"/>
        </w:rPr>
        <w:t>；</w:t>
      </w:r>
    </w:p>
    <w:p w14:paraId="7BE01A4B">
      <w:pPr>
        <w:keepNext w:val="0"/>
        <w:keepLines w:val="0"/>
        <w:pageBreakBefore w:val="0"/>
        <w:widowControl w:val="0"/>
        <w:kinsoku/>
        <w:wordWrap/>
        <w:overflowPunct/>
        <w:topLinePunct w:val="0"/>
        <w:autoSpaceDE/>
        <w:autoSpaceDN/>
        <w:bidi w:val="0"/>
        <w:adjustRightInd/>
        <w:snapToGrid w:val="0"/>
        <w:spacing w:line="312" w:lineRule="auto"/>
        <w:ind w:firstLine="440" w:firstLineChars="200"/>
        <w:textAlignment w:val="auto"/>
        <w:rPr>
          <w:rFonts w:hint="eastAsia" w:ascii="宋体" w:hAnsi="宋体" w:eastAsia="宋体" w:cs="宋体"/>
          <w:color w:val="auto"/>
          <w:sz w:val="22"/>
          <w:szCs w:val="22"/>
          <w:highlight w:val="none"/>
          <w:lang w:eastAsia="zh-CN"/>
        </w:rPr>
      </w:pPr>
      <w:r>
        <w:rPr>
          <w:rFonts w:hint="eastAsia" w:ascii="宋体" w:hAnsi="宋体"/>
          <w:color w:val="auto"/>
          <w:sz w:val="22"/>
          <w:szCs w:val="22"/>
          <w:highlight w:val="none"/>
          <w:lang w:val="en-US" w:eastAsia="zh-CN"/>
        </w:rPr>
        <w:t>1.3</w:t>
      </w:r>
      <w:r>
        <w:rPr>
          <w:rFonts w:hint="eastAsia" w:ascii="宋体" w:hAnsi="宋体"/>
          <w:color w:val="auto"/>
          <w:sz w:val="22"/>
          <w:szCs w:val="22"/>
          <w:highlight w:val="none"/>
          <w:lang w:val="zh-CN"/>
        </w:rPr>
        <w:t>法定代</w:t>
      </w:r>
      <w:r>
        <w:rPr>
          <w:rFonts w:hint="eastAsia" w:hAnsi="宋体"/>
          <w:color w:val="auto"/>
          <w:sz w:val="22"/>
          <w:szCs w:val="22"/>
          <w:highlight w:val="none"/>
        </w:rPr>
        <w:t>表人授权书</w:t>
      </w:r>
      <w:r>
        <w:rPr>
          <w:rFonts w:hint="eastAsia"/>
          <w:color w:val="auto"/>
          <w:sz w:val="22"/>
          <w:szCs w:val="28"/>
          <w:highlight w:val="none"/>
        </w:rPr>
        <w:t>（格式见后）</w:t>
      </w:r>
      <w:r>
        <w:rPr>
          <w:rFonts w:hint="eastAsia" w:ascii="宋体" w:hAnsi="宋体"/>
          <w:color w:val="auto"/>
          <w:sz w:val="22"/>
          <w:szCs w:val="22"/>
          <w:highlight w:val="none"/>
          <w:lang w:eastAsia="zh-CN"/>
        </w:rPr>
        <w:t>；</w:t>
      </w:r>
    </w:p>
    <w:p w14:paraId="3F7D5542">
      <w:pPr>
        <w:keepNext w:val="0"/>
        <w:keepLines w:val="0"/>
        <w:pageBreakBefore w:val="0"/>
        <w:widowControl w:val="0"/>
        <w:kinsoku/>
        <w:wordWrap/>
        <w:overflowPunct/>
        <w:topLinePunct w:val="0"/>
        <w:autoSpaceDE/>
        <w:autoSpaceDN/>
        <w:bidi w:val="0"/>
        <w:adjustRightInd/>
        <w:snapToGrid w:val="0"/>
        <w:spacing w:line="312" w:lineRule="auto"/>
        <w:ind w:firstLine="440" w:firstLineChars="200"/>
        <w:textAlignment w:val="auto"/>
        <w:rPr>
          <w:rFonts w:hint="eastAsia" w:ascii="宋体" w:hAnsi="宋体" w:eastAsia="宋体" w:cs="宋体"/>
          <w:color w:val="auto"/>
          <w:sz w:val="22"/>
          <w:szCs w:val="22"/>
          <w:highlight w:val="none"/>
          <w:lang w:eastAsia="zh-CN"/>
        </w:rPr>
      </w:pPr>
      <w:r>
        <w:rPr>
          <w:rFonts w:hint="eastAsia" w:ascii="宋体" w:hAnsi="宋体"/>
          <w:color w:val="auto"/>
          <w:sz w:val="22"/>
          <w:szCs w:val="22"/>
          <w:highlight w:val="none"/>
          <w:lang w:val="en-US" w:eastAsia="zh-CN"/>
        </w:rPr>
        <w:t>1.4</w:t>
      </w:r>
      <w:r>
        <w:rPr>
          <w:rFonts w:hint="eastAsia" w:ascii="宋体" w:hAnsi="宋体"/>
          <w:color w:val="auto"/>
          <w:sz w:val="22"/>
          <w:szCs w:val="22"/>
          <w:highlight w:val="none"/>
        </w:rPr>
        <w:t>企业营业执照</w:t>
      </w:r>
      <w:r>
        <w:rPr>
          <w:rFonts w:hint="eastAsia"/>
          <w:color w:val="auto"/>
          <w:sz w:val="22"/>
          <w:szCs w:val="28"/>
          <w:highlight w:val="none"/>
        </w:rPr>
        <w:t>（或事业单位法人证书）</w:t>
      </w:r>
      <w:r>
        <w:rPr>
          <w:rFonts w:hint="eastAsia"/>
          <w:color w:val="auto"/>
          <w:sz w:val="22"/>
          <w:szCs w:val="28"/>
          <w:highlight w:val="none"/>
          <w:lang w:eastAsia="zh-CN"/>
        </w:rPr>
        <w:t>复印件</w:t>
      </w:r>
      <w:r>
        <w:rPr>
          <w:rFonts w:hint="eastAsia" w:ascii="宋体" w:hAnsi="宋体" w:cs="宋体"/>
          <w:color w:val="auto"/>
          <w:sz w:val="22"/>
          <w:szCs w:val="22"/>
          <w:highlight w:val="none"/>
          <w:lang w:eastAsia="zh-CN"/>
        </w:rPr>
        <w:t>加盖投标人公章</w:t>
      </w:r>
      <w:r>
        <w:rPr>
          <w:rFonts w:hint="eastAsia"/>
          <w:color w:val="auto"/>
          <w:sz w:val="22"/>
          <w:szCs w:val="28"/>
          <w:highlight w:val="none"/>
          <w:lang w:eastAsia="zh-CN"/>
        </w:rPr>
        <w:t>；</w:t>
      </w:r>
    </w:p>
    <w:p w14:paraId="6B91F27D">
      <w:pPr>
        <w:keepNext w:val="0"/>
        <w:keepLines w:val="0"/>
        <w:pageBreakBefore w:val="0"/>
        <w:widowControl w:val="0"/>
        <w:kinsoku/>
        <w:wordWrap/>
        <w:overflowPunct/>
        <w:topLinePunct w:val="0"/>
        <w:autoSpaceDE/>
        <w:autoSpaceDN/>
        <w:bidi w:val="0"/>
        <w:adjustRightInd/>
        <w:snapToGrid w:val="0"/>
        <w:spacing w:line="312" w:lineRule="auto"/>
        <w:ind w:leftChars="0" w:firstLine="440" w:firstLineChars="200"/>
        <w:textAlignment w:val="auto"/>
        <w:rPr>
          <w:rFonts w:hint="default" w:ascii="宋体" w:hAnsi="宋体"/>
          <w:color w:val="auto"/>
          <w:sz w:val="22"/>
          <w:szCs w:val="22"/>
          <w:highlight w:val="none"/>
          <w:lang w:val="en-US" w:eastAsia="zh-CN"/>
        </w:rPr>
      </w:pPr>
      <w:r>
        <w:rPr>
          <w:rFonts w:hint="eastAsia" w:ascii="宋体" w:hAnsi="宋体"/>
          <w:color w:val="auto"/>
          <w:sz w:val="22"/>
          <w:szCs w:val="22"/>
          <w:highlight w:val="none"/>
          <w:lang w:val="en-US" w:eastAsia="zh-CN"/>
        </w:rPr>
        <w:t>1.5投标资格业绩证明材料并加盖投标人公章；</w:t>
      </w:r>
    </w:p>
    <w:p w14:paraId="4B23D49B">
      <w:pPr>
        <w:keepNext w:val="0"/>
        <w:keepLines w:val="0"/>
        <w:pageBreakBefore w:val="0"/>
        <w:widowControl w:val="0"/>
        <w:kinsoku/>
        <w:wordWrap/>
        <w:overflowPunct/>
        <w:topLinePunct w:val="0"/>
        <w:autoSpaceDE/>
        <w:autoSpaceDN/>
        <w:bidi w:val="0"/>
        <w:adjustRightInd/>
        <w:snapToGrid w:val="0"/>
        <w:spacing w:line="312" w:lineRule="auto"/>
        <w:ind w:leftChars="0" w:firstLine="440" w:firstLineChars="200"/>
        <w:textAlignment w:val="auto"/>
        <w:rPr>
          <w:rFonts w:hint="eastAsia" w:ascii="宋体" w:hAnsi="宋体" w:eastAsia="宋体" w:cs="宋体"/>
          <w:color w:val="auto"/>
          <w:sz w:val="22"/>
          <w:szCs w:val="22"/>
          <w:highlight w:val="none"/>
          <w:lang w:eastAsia="zh-CN"/>
        </w:rPr>
      </w:pPr>
      <w:r>
        <w:rPr>
          <w:rFonts w:hint="eastAsia" w:ascii="宋体" w:hAnsi="宋体"/>
          <w:color w:val="auto"/>
          <w:sz w:val="22"/>
          <w:szCs w:val="22"/>
          <w:highlight w:val="none"/>
          <w:lang w:val="en-US" w:eastAsia="zh-CN"/>
        </w:rPr>
        <w:t>1.6</w:t>
      </w:r>
      <w:r>
        <w:rPr>
          <w:rFonts w:hint="eastAsia" w:ascii="宋体" w:hAnsi="宋体"/>
          <w:color w:val="auto"/>
          <w:sz w:val="22"/>
          <w:szCs w:val="22"/>
          <w:highlight w:val="none"/>
        </w:rPr>
        <w:t>承诺书</w:t>
      </w:r>
      <w:r>
        <w:rPr>
          <w:rFonts w:hint="eastAsia"/>
          <w:color w:val="auto"/>
          <w:sz w:val="22"/>
          <w:szCs w:val="28"/>
          <w:highlight w:val="none"/>
        </w:rPr>
        <w:t>（格式见后）</w:t>
      </w:r>
      <w:r>
        <w:rPr>
          <w:rFonts w:hint="eastAsia"/>
          <w:color w:val="auto"/>
          <w:sz w:val="22"/>
          <w:szCs w:val="28"/>
          <w:highlight w:val="none"/>
          <w:lang w:eastAsia="zh-CN"/>
        </w:rPr>
        <w:t>。</w:t>
      </w:r>
    </w:p>
    <w:p w14:paraId="742E56F8">
      <w:pPr>
        <w:keepNext w:val="0"/>
        <w:keepLines w:val="0"/>
        <w:pageBreakBefore w:val="0"/>
        <w:widowControl w:val="0"/>
        <w:kinsoku/>
        <w:wordWrap/>
        <w:overflowPunct/>
        <w:topLinePunct w:val="0"/>
        <w:autoSpaceDE/>
        <w:autoSpaceDN/>
        <w:bidi w:val="0"/>
        <w:adjustRightInd/>
        <w:snapToGrid w:val="0"/>
        <w:spacing w:line="312" w:lineRule="auto"/>
        <w:ind w:leftChars="0" w:firstLine="440" w:firstLineChars="200"/>
        <w:textAlignment w:val="auto"/>
        <w:rPr>
          <w:rFonts w:hint="eastAsia" w:ascii="宋体" w:hAnsi="宋体"/>
          <w:color w:val="auto"/>
          <w:sz w:val="22"/>
          <w:szCs w:val="22"/>
          <w:highlight w:val="none"/>
        </w:rPr>
      </w:pPr>
      <w:r>
        <w:rPr>
          <w:rFonts w:hint="eastAsia" w:ascii="宋体" w:hAnsi="宋体"/>
          <w:color w:val="auto"/>
          <w:sz w:val="22"/>
          <w:szCs w:val="22"/>
          <w:highlight w:val="none"/>
        </w:rPr>
        <w:t>不能提供资格审查资料的任何一项或不符合资格审查要求的投标人为资格审查不合格。</w:t>
      </w:r>
    </w:p>
    <w:p w14:paraId="46FE138E">
      <w:pPr>
        <w:keepNext w:val="0"/>
        <w:keepLines w:val="0"/>
        <w:pageBreakBefore w:val="0"/>
        <w:widowControl w:val="0"/>
        <w:kinsoku/>
        <w:wordWrap/>
        <w:overflowPunct/>
        <w:topLinePunct w:val="0"/>
        <w:autoSpaceDE/>
        <w:autoSpaceDN/>
        <w:bidi w:val="0"/>
        <w:adjustRightInd/>
        <w:snapToGrid w:val="0"/>
        <w:spacing w:line="312" w:lineRule="auto"/>
        <w:ind w:leftChars="0" w:firstLine="442" w:firstLineChars="200"/>
        <w:textAlignment w:val="auto"/>
        <w:rPr>
          <w:rFonts w:hint="eastAsia" w:ascii="宋体" w:hAnsi="宋体"/>
          <w:b/>
          <w:bCs/>
          <w:color w:val="auto"/>
          <w:sz w:val="22"/>
          <w:szCs w:val="22"/>
          <w:highlight w:val="none"/>
        </w:rPr>
      </w:pPr>
      <w:r>
        <w:rPr>
          <w:rFonts w:hint="eastAsia" w:ascii="宋体" w:hAnsi="宋体"/>
          <w:b/>
          <w:bCs/>
          <w:color w:val="auto"/>
          <w:sz w:val="22"/>
          <w:szCs w:val="22"/>
          <w:highlight w:val="none"/>
          <w:lang w:val="en-US" w:eastAsia="zh-CN"/>
        </w:rPr>
        <w:t>2.</w:t>
      </w:r>
      <w:r>
        <w:rPr>
          <w:rFonts w:hint="eastAsia" w:ascii="宋体" w:hAnsi="宋体"/>
          <w:b/>
          <w:bCs/>
          <w:color w:val="auto"/>
          <w:sz w:val="22"/>
          <w:szCs w:val="22"/>
          <w:highlight w:val="none"/>
          <w:lang w:eastAsia="zh-CN"/>
        </w:rPr>
        <w:t>技术</w:t>
      </w:r>
      <w:r>
        <w:rPr>
          <w:rFonts w:hint="eastAsia" w:ascii="宋体" w:hAnsi="宋体"/>
          <w:b/>
          <w:bCs/>
          <w:color w:val="auto"/>
          <w:sz w:val="22"/>
          <w:szCs w:val="22"/>
          <w:highlight w:val="none"/>
        </w:rPr>
        <w:t>标资料包括内容：</w:t>
      </w:r>
    </w:p>
    <w:p w14:paraId="00147A34">
      <w:pPr>
        <w:pStyle w:val="37"/>
        <w:keepNext w:val="0"/>
        <w:keepLines w:val="0"/>
        <w:pageBreakBefore w:val="0"/>
        <w:widowControl w:val="0"/>
        <w:kinsoku/>
        <w:wordWrap/>
        <w:overflowPunct/>
        <w:topLinePunct w:val="0"/>
        <w:autoSpaceDE/>
        <w:autoSpaceDN/>
        <w:bidi w:val="0"/>
        <w:adjustRightInd/>
        <w:snapToGrid w:val="0"/>
        <w:spacing w:after="0" w:line="312" w:lineRule="auto"/>
        <w:ind w:leftChars="0" w:firstLine="440" w:firstLineChars="200"/>
        <w:textAlignment w:val="auto"/>
        <w:rPr>
          <w:rFonts w:hint="eastAsia"/>
          <w:color w:val="auto"/>
          <w:sz w:val="22"/>
          <w:szCs w:val="28"/>
          <w:highlight w:val="none"/>
          <w:lang w:eastAsia="zh-CN"/>
        </w:rPr>
      </w:pPr>
      <w:r>
        <w:rPr>
          <w:rFonts w:hint="eastAsia" w:ascii="宋体" w:hAnsi="宋体"/>
          <w:color w:val="auto"/>
          <w:sz w:val="22"/>
          <w:szCs w:val="22"/>
          <w:highlight w:val="none"/>
          <w:lang w:val="en-US" w:eastAsia="zh-CN"/>
        </w:rPr>
        <w:t>2.1</w:t>
      </w:r>
      <w:r>
        <w:rPr>
          <w:rFonts w:hint="eastAsia" w:ascii="宋体" w:hAnsi="宋体"/>
          <w:color w:val="auto"/>
          <w:sz w:val="22"/>
          <w:szCs w:val="22"/>
          <w:highlight w:val="none"/>
        </w:rPr>
        <w:t>封面</w:t>
      </w:r>
      <w:r>
        <w:rPr>
          <w:rFonts w:hint="eastAsia"/>
          <w:color w:val="auto"/>
          <w:sz w:val="22"/>
          <w:szCs w:val="28"/>
          <w:highlight w:val="none"/>
        </w:rPr>
        <w:t>（格式见后）</w:t>
      </w:r>
      <w:r>
        <w:rPr>
          <w:rFonts w:hint="eastAsia"/>
          <w:color w:val="auto"/>
          <w:sz w:val="22"/>
          <w:szCs w:val="28"/>
          <w:highlight w:val="none"/>
          <w:lang w:eastAsia="zh-CN"/>
        </w:rPr>
        <w:t>；</w:t>
      </w:r>
    </w:p>
    <w:p w14:paraId="501597D2">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2.2</w:t>
      </w:r>
      <w:r>
        <w:rPr>
          <w:rFonts w:hint="eastAsia" w:ascii="宋体" w:hAnsi="宋体" w:eastAsia="宋体" w:cs="宋体"/>
          <w:b/>
          <w:bCs/>
          <w:color w:val="auto"/>
          <w:sz w:val="22"/>
          <w:szCs w:val="22"/>
          <w:highlight w:val="none"/>
          <w:lang w:val="en-US" w:eastAsia="zh-CN"/>
        </w:rPr>
        <w:t>本项目质保期不少于36个月（从通信发展办（或通建办）出具的《准予接入公网通知书》之日起开始计）（投标文件中提供供应商盖章承诺</w:t>
      </w:r>
      <w:r>
        <w:rPr>
          <w:rFonts w:hint="eastAsia" w:ascii="宋体" w:hAnsi="宋体" w:cs="宋体"/>
          <w:b/>
          <w:bCs/>
          <w:color w:val="auto"/>
          <w:sz w:val="22"/>
          <w:szCs w:val="22"/>
          <w:highlight w:val="none"/>
          <w:lang w:val="en-US" w:eastAsia="zh-CN"/>
        </w:rPr>
        <w:t>，格式自拟</w:t>
      </w:r>
      <w:r>
        <w:rPr>
          <w:rFonts w:hint="eastAsia" w:ascii="宋体" w:hAnsi="宋体" w:eastAsia="宋体" w:cs="宋体"/>
          <w:b/>
          <w:bCs/>
          <w:color w:val="auto"/>
          <w:sz w:val="22"/>
          <w:szCs w:val="22"/>
          <w:highlight w:val="none"/>
          <w:lang w:val="en-US" w:eastAsia="zh-CN"/>
        </w:rPr>
        <w:t>）。</w:t>
      </w:r>
    </w:p>
    <w:p w14:paraId="59FD8DD3">
      <w:pPr>
        <w:keepNext w:val="0"/>
        <w:keepLines w:val="0"/>
        <w:pageBreakBefore w:val="0"/>
        <w:widowControl w:val="0"/>
        <w:numPr>
          <w:ilvl w:val="0"/>
          <w:numId w:val="0"/>
        </w:numPr>
        <w:kinsoku/>
        <w:wordWrap/>
        <w:overflowPunct/>
        <w:topLinePunct w:val="0"/>
        <w:autoSpaceDE/>
        <w:autoSpaceDN/>
        <w:bidi w:val="0"/>
        <w:adjustRightInd/>
        <w:snapToGrid w:val="0"/>
        <w:spacing w:line="312" w:lineRule="auto"/>
        <w:ind w:leftChars="0" w:firstLine="440" w:firstLineChars="200"/>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2.</w:t>
      </w:r>
      <w:r>
        <w:rPr>
          <w:rFonts w:hint="eastAsia" w:ascii="宋体" w:hAnsi="宋体" w:cs="宋体"/>
          <w:color w:val="auto"/>
          <w:kern w:val="2"/>
          <w:sz w:val="22"/>
          <w:szCs w:val="22"/>
          <w:highlight w:val="none"/>
          <w:lang w:val="en-US" w:eastAsia="zh-CN" w:bidi="ar-SA"/>
        </w:rPr>
        <w:t>3</w:t>
      </w:r>
      <w:r>
        <w:rPr>
          <w:rFonts w:hint="eastAsia" w:ascii="宋体" w:hAnsi="宋体" w:eastAsia="宋体" w:cs="宋体"/>
          <w:color w:val="auto"/>
          <w:sz w:val="22"/>
          <w:szCs w:val="22"/>
          <w:highlight w:val="none"/>
        </w:rPr>
        <w:t>根据技术标评分细化标准自行编制（格式自拟）。</w:t>
      </w:r>
    </w:p>
    <w:p w14:paraId="7FC1D22A">
      <w:pPr>
        <w:keepNext w:val="0"/>
        <w:keepLines w:val="0"/>
        <w:pageBreakBefore w:val="0"/>
        <w:widowControl w:val="0"/>
        <w:kinsoku/>
        <w:wordWrap/>
        <w:overflowPunct/>
        <w:topLinePunct w:val="0"/>
        <w:autoSpaceDE/>
        <w:autoSpaceDN/>
        <w:bidi w:val="0"/>
        <w:adjustRightInd/>
        <w:snapToGrid w:val="0"/>
        <w:spacing w:line="312" w:lineRule="auto"/>
        <w:ind w:leftChars="0" w:firstLine="442" w:firstLineChars="200"/>
        <w:textAlignment w:val="auto"/>
        <w:rPr>
          <w:rFonts w:hint="eastAsia" w:ascii="宋体" w:hAnsi="宋体"/>
          <w:b/>
          <w:bCs/>
          <w:color w:val="auto"/>
          <w:sz w:val="22"/>
          <w:szCs w:val="22"/>
          <w:highlight w:val="none"/>
        </w:rPr>
      </w:pPr>
      <w:r>
        <w:rPr>
          <w:rFonts w:hint="eastAsia" w:ascii="宋体" w:hAnsi="宋体"/>
          <w:b/>
          <w:bCs/>
          <w:color w:val="auto"/>
          <w:sz w:val="22"/>
          <w:szCs w:val="22"/>
          <w:highlight w:val="none"/>
          <w:lang w:val="en-US" w:eastAsia="zh-CN"/>
        </w:rPr>
        <w:t>3.</w:t>
      </w:r>
      <w:r>
        <w:rPr>
          <w:rFonts w:hint="eastAsia" w:ascii="宋体" w:hAnsi="宋体"/>
          <w:b/>
          <w:bCs/>
          <w:color w:val="auto"/>
          <w:sz w:val="22"/>
          <w:szCs w:val="22"/>
          <w:highlight w:val="none"/>
        </w:rPr>
        <w:t>商务标资料包括内容：</w:t>
      </w:r>
    </w:p>
    <w:p w14:paraId="4467B9B9">
      <w:pPr>
        <w:keepNext w:val="0"/>
        <w:keepLines w:val="0"/>
        <w:pageBreakBefore w:val="0"/>
        <w:widowControl w:val="0"/>
        <w:kinsoku/>
        <w:wordWrap/>
        <w:overflowPunct/>
        <w:topLinePunct w:val="0"/>
        <w:bidi w:val="0"/>
        <w:snapToGrid w:val="0"/>
        <w:spacing w:line="312" w:lineRule="auto"/>
        <w:ind w:firstLine="440" w:firstLineChars="200"/>
        <w:textAlignment w:val="auto"/>
        <w:rPr>
          <w:rFonts w:hint="eastAsia" w:ascii="宋体" w:hAnsi="宋体" w:eastAsia="宋体"/>
          <w:color w:val="auto"/>
          <w:sz w:val="22"/>
          <w:szCs w:val="22"/>
          <w:highlight w:val="none"/>
          <w:lang w:eastAsia="zh-CN"/>
        </w:rPr>
      </w:pPr>
      <w:r>
        <w:rPr>
          <w:rFonts w:hint="eastAsia" w:ascii="宋体" w:hAnsi="宋体"/>
          <w:color w:val="auto"/>
          <w:sz w:val="22"/>
          <w:szCs w:val="22"/>
          <w:highlight w:val="none"/>
          <w:lang w:val="en-US" w:eastAsia="zh-CN"/>
        </w:rPr>
        <w:t>3.1</w:t>
      </w:r>
      <w:r>
        <w:rPr>
          <w:rFonts w:hint="eastAsia" w:ascii="宋体" w:hAnsi="宋体"/>
          <w:color w:val="auto"/>
          <w:sz w:val="22"/>
          <w:szCs w:val="22"/>
          <w:highlight w:val="none"/>
        </w:rPr>
        <w:t>封面</w:t>
      </w:r>
      <w:r>
        <w:rPr>
          <w:rFonts w:hint="eastAsia"/>
          <w:color w:val="auto"/>
          <w:sz w:val="22"/>
          <w:szCs w:val="28"/>
          <w:highlight w:val="none"/>
        </w:rPr>
        <w:t>（格式见后）</w:t>
      </w:r>
      <w:r>
        <w:rPr>
          <w:rFonts w:hint="eastAsia"/>
          <w:color w:val="auto"/>
          <w:sz w:val="22"/>
          <w:szCs w:val="28"/>
          <w:highlight w:val="none"/>
          <w:lang w:eastAsia="zh-CN"/>
        </w:rPr>
        <w:t>；</w:t>
      </w:r>
    </w:p>
    <w:p w14:paraId="6857C84D">
      <w:pPr>
        <w:keepNext w:val="0"/>
        <w:keepLines w:val="0"/>
        <w:pageBreakBefore w:val="0"/>
        <w:widowControl w:val="0"/>
        <w:kinsoku/>
        <w:wordWrap/>
        <w:overflowPunct/>
        <w:topLinePunct w:val="0"/>
        <w:bidi w:val="0"/>
        <w:snapToGrid w:val="0"/>
        <w:spacing w:line="312" w:lineRule="auto"/>
        <w:ind w:firstLine="440" w:firstLineChars="200"/>
        <w:textAlignment w:val="auto"/>
        <w:rPr>
          <w:rFonts w:hint="eastAsia" w:ascii="宋体" w:hAnsi="宋体" w:eastAsia="宋体"/>
          <w:color w:val="auto"/>
          <w:sz w:val="22"/>
          <w:szCs w:val="22"/>
          <w:highlight w:val="none"/>
          <w:lang w:eastAsia="zh-CN"/>
        </w:rPr>
      </w:pPr>
      <w:r>
        <w:rPr>
          <w:rFonts w:hint="eastAsia" w:ascii="宋体" w:hAnsi="宋体"/>
          <w:color w:val="auto"/>
          <w:sz w:val="22"/>
          <w:szCs w:val="22"/>
          <w:highlight w:val="none"/>
          <w:lang w:val="en-US" w:eastAsia="zh-CN"/>
        </w:rPr>
        <w:t>3.2</w:t>
      </w:r>
      <w:r>
        <w:rPr>
          <w:rFonts w:hint="eastAsia" w:ascii="宋体" w:hAnsi="宋体"/>
          <w:color w:val="auto"/>
          <w:sz w:val="22"/>
          <w:szCs w:val="22"/>
          <w:highlight w:val="none"/>
        </w:rPr>
        <w:t>投标承诺书</w:t>
      </w:r>
      <w:r>
        <w:rPr>
          <w:rFonts w:hint="eastAsia"/>
          <w:color w:val="auto"/>
          <w:sz w:val="22"/>
          <w:szCs w:val="28"/>
          <w:highlight w:val="none"/>
        </w:rPr>
        <w:t>（格式见后）</w:t>
      </w:r>
      <w:r>
        <w:rPr>
          <w:rFonts w:hint="eastAsia" w:ascii="宋体" w:hAnsi="宋体"/>
          <w:color w:val="auto"/>
          <w:sz w:val="22"/>
          <w:szCs w:val="22"/>
          <w:highlight w:val="none"/>
          <w:lang w:eastAsia="zh-CN"/>
        </w:rPr>
        <w:t>；</w:t>
      </w:r>
    </w:p>
    <w:p w14:paraId="4045AEBC">
      <w:pPr>
        <w:keepNext w:val="0"/>
        <w:keepLines w:val="0"/>
        <w:pageBreakBefore w:val="0"/>
        <w:widowControl w:val="0"/>
        <w:kinsoku/>
        <w:wordWrap/>
        <w:overflowPunct/>
        <w:topLinePunct w:val="0"/>
        <w:bidi w:val="0"/>
        <w:snapToGrid w:val="0"/>
        <w:spacing w:line="312" w:lineRule="auto"/>
        <w:ind w:firstLine="440" w:firstLineChars="200"/>
        <w:textAlignment w:val="auto"/>
        <w:rPr>
          <w:rFonts w:hint="eastAsia" w:ascii="宋体" w:hAnsi="宋体" w:eastAsia="宋体"/>
          <w:color w:val="auto"/>
          <w:sz w:val="22"/>
          <w:szCs w:val="22"/>
          <w:highlight w:val="none"/>
          <w:lang w:eastAsia="zh-CN"/>
        </w:rPr>
      </w:pPr>
      <w:r>
        <w:rPr>
          <w:rFonts w:hint="eastAsia" w:ascii="宋体" w:hAnsi="宋体"/>
          <w:color w:val="auto"/>
          <w:sz w:val="22"/>
          <w:szCs w:val="22"/>
          <w:highlight w:val="none"/>
          <w:lang w:val="en-US" w:eastAsia="zh-CN"/>
        </w:rPr>
        <w:t>3.3</w:t>
      </w:r>
      <w:r>
        <w:rPr>
          <w:rFonts w:hint="eastAsia" w:ascii="宋体" w:hAnsi="宋体"/>
          <w:color w:val="auto"/>
          <w:sz w:val="22"/>
          <w:szCs w:val="22"/>
          <w:highlight w:val="none"/>
        </w:rPr>
        <w:t>投标函</w:t>
      </w:r>
      <w:r>
        <w:rPr>
          <w:rFonts w:hint="eastAsia"/>
          <w:color w:val="auto"/>
          <w:sz w:val="22"/>
          <w:szCs w:val="28"/>
          <w:highlight w:val="none"/>
        </w:rPr>
        <w:t>（格式见后）</w:t>
      </w:r>
      <w:r>
        <w:rPr>
          <w:rFonts w:hint="eastAsia" w:ascii="宋体" w:hAnsi="宋体"/>
          <w:color w:val="auto"/>
          <w:sz w:val="22"/>
          <w:szCs w:val="22"/>
          <w:highlight w:val="none"/>
          <w:lang w:eastAsia="zh-CN"/>
        </w:rPr>
        <w:t>；</w:t>
      </w:r>
    </w:p>
    <w:p w14:paraId="2AFCC401">
      <w:pPr>
        <w:keepNext w:val="0"/>
        <w:keepLines w:val="0"/>
        <w:pageBreakBefore w:val="0"/>
        <w:widowControl w:val="0"/>
        <w:kinsoku/>
        <w:wordWrap/>
        <w:overflowPunct/>
        <w:topLinePunct w:val="0"/>
        <w:bidi w:val="0"/>
        <w:snapToGrid w:val="0"/>
        <w:spacing w:line="312" w:lineRule="auto"/>
        <w:ind w:firstLine="440" w:firstLineChars="200"/>
        <w:textAlignment w:val="auto"/>
        <w:rPr>
          <w:rFonts w:hint="eastAsia" w:eastAsia="宋体"/>
          <w:color w:val="auto"/>
          <w:sz w:val="22"/>
          <w:szCs w:val="28"/>
          <w:highlight w:val="none"/>
          <w:lang w:eastAsia="zh-CN"/>
        </w:rPr>
      </w:pP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val="en-US" w:eastAsia="zh-CN"/>
        </w:rPr>
        <w:t>4总报价书</w:t>
      </w:r>
      <w:r>
        <w:rPr>
          <w:rFonts w:hint="eastAsia"/>
          <w:color w:val="auto"/>
          <w:sz w:val="22"/>
          <w:szCs w:val="28"/>
          <w:highlight w:val="none"/>
        </w:rPr>
        <w:t>（格式见后）</w:t>
      </w:r>
      <w:r>
        <w:rPr>
          <w:rFonts w:hint="eastAsia"/>
          <w:color w:val="auto"/>
          <w:sz w:val="22"/>
          <w:szCs w:val="28"/>
          <w:highlight w:val="none"/>
          <w:lang w:eastAsia="zh-CN"/>
        </w:rPr>
        <w:t>；</w:t>
      </w:r>
    </w:p>
    <w:p w14:paraId="08836A27">
      <w:pPr>
        <w:keepNext w:val="0"/>
        <w:keepLines w:val="0"/>
        <w:pageBreakBefore w:val="0"/>
        <w:widowControl w:val="0"/>
        <w:kinsoku/>
        <w:wordWrap/>
        <w:overflowPunct/>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3.5</w:t>
      </w:r>
      <w:r>
        <w:rPr>
          <w:rFonts w:hint="eastAsia" w:ascii="宋体" w:hAnsi="宋体" w:eastAsia="宋体" w:cs="宋体"/>
          <w:color w:val="auto"/>
          <w:sz w:val="22"/>
          <w:szCs w:val="22"/>
          <w:highlight w:val="none"/>
          <w:lang w:val="en-US" w:eastAsia="zh-CN"/>
        </w:rPr>
        <w:t>报</w:t>
      </w:r>
      <w:r>
        <w:rPr>
          <w:rFonts w:hint="eastAsia"/>
          <w:color w:val="auto"/>
          <w:sz w:val="22"/>
          <w:szCs w:val="28"/>
          <w:highlight w:val="none"/>
          <w:lang w:val="en-US" w:eastAsia="zh-CN"/>
        </w:rPr>
        <w:t>价明细表（格式见后）</w:t>
      </w:r>
      <w:r>
        <w:rPr>
          <w:rFonts w:hint="eastAsia"/>
          <w:color w:val="auto"/>
          <w:sz w:val="22"/>
          <w:szCs w:val="28"/>
          <w:highlight w:val="none"/>
          <w:lang w:eastAsia="zh-CN"/>
        </w:rPr>
        <w:t>。</w:t>
      </w:r>
      <w:r>
        <w:rPr>
          <w:rFonts w:hint="eastAsia" w:ascii="宋体" w:hAnsi="宋体" w:eastAsia="宋体" w:cs="宋体"/>
          <w:color w:val="auto"/>
          <w:sz w:val="22"/>
          <w:szCs w:val="22"/>
          <w:highlight w:val="none"/>
          <w:lang w:val="en-US" w:eastAsia="zh-CN"/>
        </w:rPr>
        <w:t xml:space="preserve"> </w:t>
      </w:r>
    </w:p>
    <w:p w14:paraId="17DBD0DE">
      <w:pPr>
        <w:keepNext w:val="0"/>
        <w:keepLines w:val="0"/>
        <w:pageBreakBefore w:val="0"/>
        <w:widowControl w:val="0"/>
        <w:kinsoku/>
        <w:wordWrap/>
        <w:overflowPunct/>
        <w:topLinePunct w:val="0"/>
        <w:bidi w:val="0"/>
        <w:snapToGrid w:val="0"/>
        <w:spacing w:line="312" w:lineRule="auto"/>
        <w:ind w:firstLine="442" w:firstLineChars="200"/>
        <w:textAlignment w:val="auto"/>
        <w:rPr>
          <w:rFonts w:ascii="宋体" w:hAnsi="宋体"/>
          <w:b/>
          <w:color w:val="auto"/>
          <w:sz w:val="22"/>
          <w:szCs w:val="22"/>
          <w:highlight w:val="none"/>
        </w:rPr>
      </w:pPr>
      <w:r>
        <w:rPr>
          <w:rFonts w:hint="eastAsia" w:ascii="宋体" w:hAnsi="宋体"/>
          <w:b/>
          <w:color w:val="auto"/>
          <w:sz w:val="22"/>
          <w:szCs w:val="22"/>
          <w:highlight w:val="none"/>
        </w:rPr>
        <w:t>（三）投标文件格式要求</w:t>
      </w:r>
    </w:p>
    <w:p w14:paraId="04645C5A">
      <w:pPr>
        <w:keepNext w:val="0"/>
        <w:keepLines w:val="0"/>
        <w:pageBreakBefore w:val="0"/>
        <w:widowControl w:val="0"/>
        <w:kinsoku/>
        <w:wordWrap/>
        <w:overflowPunct/>
        <w:topLinePunct w:val="0"/>
        <w:bidi w:val="0"/>
        <w:snapToGrid w:val="0"/>
        <w:spacing w:line="312" w:lineRule="auto"/>
        <w:ind w:firstLine="440" w:firstLineChars="200"/>
        <w:textAlignment w:val="auto"/>
        <w:rPr>
          <w:rFonts w:ascii="宋体" w:hAnsi="宋体"/>
          <w:color w:val="auto"/>
          <w:sz w:val="22"/>
          <w:szCs w:val="22"/>
          <w:highlight w:val="none"/>
        </w:rPr>
      </w:pPr>
      <w:r>
        <w:rPr>
          <w:rFonts w:hint="eastAsia" w:ascii="宋体" w:hAnsi="宋体"/>
          <w:color w:val="auto"/>
          <w:sz w:val="22"/>
          <w:szCs w:val="22"/>
          <w:highlight w:val="none"/>
        </w:rPr>
        <w:t>投标人应按照招标文件要求的内容和附表格式，编制投标文件。</w:t>
      </w:r>
    </w:p>
    <w:p w14:paraId="3ECE7C9F">
      <w:pPr>
        <w:keepNext w:val="0"/>
        <w:keepLines w:val="0"/>
        <w:pageBreakBefore w:val="0"/>
        <w:widowControl w:val="0"/>
        <w:kinsoku/>
        <w:wordWrap/>
        <w:overflowPunct/>
        <w:topLinePunct w:val="0"/>
        <w:autoSpaceDE w:val="0"/>
        <w:autoSpaceDN w:val="0"/>
        <w:bidi w:val="0"/>
        <w:adjustRightInd/>
        <w:snapToGrid w:val="0"/>
        <w:spacing w:line="312" w:lineRule="auto"/>
        <w:ind w:firstLine="442" w:firstLineChars="200"/>
        <w:textAlignment w:val="auto"/>
        <w:rPr>
          <w:rFonts w:ascii="宋体"/>
          <w:b/>
          <w:strike w:val="0"/>
          <w:dstrike w:val="0"/>
          <w:color w:val="auto"/>
          <w:sz w:val="22"/>
          <w:szCs w:val="22"/>
          <w:highlight w:val="none"/>
          <w:lang w:val="zh-CN"/>
        </w:rPr>
      </w:pPr>
      <w:r>
        <w:rPr>
          <w:rFonts w:hint="eastAsia" w:ascii="宋体" w:hAnsi="宋体"/>
          <w:b/>
          <w:strike w:val="0"/>
          <w:dstrike w:val="0"/>
          <w:color w:val="auto"/>
          <w:sz w:val="22"/>
          <w:szCs w:val="22"/>
          <w:highlight w:val="none"/>
        </w:rPr>
        <w:t>（四）</w:t>
      </w:r>
      <w:r>
        <w:rPr>
          <w:rFonts w:ascii="宋体" w:hAnsi="宋体"/>
          <w:b/>
          <w:strike w:val="0"/>
          <w:dstrike w:val="0"/>
          <w:color w:val="auto"/>
          <w:sz w:val="22"/>
          <w:szCs w:val="22"/>
          <w:highlight w:val="none"/>
          <w:lang w:val="zh-CN"/>
        </w:rPr>
        <w:t>投标保证金</w:t>
      </w:r>
      <w:r>
        <w:rPr>
          <w:rFonts w:hint="eastAsia" w:ascii="宋体" w:hAnsi="宋体"/>
          <w:b/>
          <w:strike w:val="0"/>
          <w:dstrike w:val="0"/>
          <w:color w:val="auto"/>
          <w:sz w:val="22"/>
          <w:szCs w:val="22"/>
          <w:highlight w:val="none"/>
          <w:lang w:val="zh-CN"/>
        </w:rPr>
        <w:t>：无。</w:t>
      </w:r>
    </w:p>
    <w:p w14:paraId="0CA4422E">
      <w:pPr>
        <w:keepNext w:val="0"/>
        <w:keepLines w:val="0"/>
        <w:pageBreakBefore w:val="0"/>
        <w:widowControl w:val="0"/>
        <w:kinsoku/>
        <w:wordWrap/>
        <w:overflowPunct/>
        <w:topLinePunct w:val="0"/>
        <w:bidi w:val="0"/>
        <w:adjustRightInd/>
        <w:snapToGrid w:val="0"/>
        <w:spacing w:line="312" w:lineRule="auto"/>
        <w:ind w:firstLine="442" w:firstLineChars="200"/>
        <w:textAlignment w:val="auto"/>
        <w:rPr>
          <w:rFonts w:ascii="宋体" w:hAnsi="宋体"/>
          <w:b/>
          <w:color w:val="auto"/>
          <w:sz w:val="22"/>
          <w:szCs w:val="22"/>
          <w:highlight w:val="none"/>
        </w:rPr>
      </w:pPr>
      <w:r>
        <w:rPr>
          <w:rFonts w:hint="eastAsia" w:ascii="宋体" w:hAnsi="宋体"/>
          <w:b/>
          <w:color w:val="auto"/>
          <w:sz w:val="22"/>
          <w:szCs w:val="22"/>
          <w:highlight w:val="none"/>
        </w:rPr>
        <w:t>（</w:t>
      </w:r>
      <w:r>
        <w:rPr>
          <w:rFonts w:hint="eastAsia" w:ascii="宋体" w:hAnsi="宋体"/>
          <w:b/>
          <w:color w:val="auto"/>
          <w:sz w:val="22"/>
          <w:szCs w:val="22"/>
          <w:highlight w:val="none"/>
          <w:lang w:val="en-US" w:eastAsia="zh-CN"/>
        </w:rPr>
        <w:t>五</w:t>
      </w:r>
      <w:r>
        <w:rPr>
          <w:rFonts w:hint="eastAsia" w:ascii="宋体" w:hAnsi="宋体"/>
          <w:b/>
          <w:color w:val="auto"/>
          <w:sz w:val="22"/>
          <w:szCs w:val="22"/>
          <w:highlight w:val="none"/>
        </w:rPr>
        <w:t>）投标文件的份数和签署</w:t>
      </w:r>
    </w:p>
    <w:p w14:paraId="4A9CF4D9">
      <w:pPr>
        <w:keepNext w:val="0"/>
        <w:keepLines w:val="0"/>
        <w:pageBreakBefore w:val="0"/>
        <w:widowControl w:val="0"/>
        <w:kinsoku/>
        <w:wordWrap/>
        <w:overflowPunct/>
        <w:topLinePunct w:val="0"/>
        <w:bidi w:val="0"/>
        <w:snapToGrid w:val="0"/>
        <w:spacing w:line="312" w:lineRule="auto"/>
        <w:ind w:firstLine="440" w:firstLineChars="200"/>
        <w:textAlignment w:val="auto"/>
        <w:rPr>
          <w:rFonts w:ascii="宋体" w:hAnsi="宋体"/>
          <w:color w:val="auto"/>
          <w:sz w:val="22"/>
          <w:szCs w:val="22"/>
          <w:highlight w:val="none"/>
        </w:rPr>
      </w:pPr>
      <w:r>
        <w:rPr>
          <w:rFonts w:hint="eastAsia" w:ascii="宋体" w:hAnsi="宋体"/>
          <w:color w:val="auto"/>
          <w:sz w:val="22"/>
          <w:szCs w:val="22"/>
          <w:highlight w:val="none"/>
        </w:rPr>
        <w:t>1、投标人按前附表规定的份数，编制投标文件“正本”和“副本”，并在封面上注明“正本”和“副本”。投标文件“正本”和“副本”如有不一致之处，以“正本”为准。</w:t>
      </w:r>
    </w:p>
    <w:p w14:paraId="0A3F73A7">
      <w:pPr>
        <w:keepNext w:val="0"/>
        <w:keepLines w:val="0"/>
        <w:pageBreakBefore w:val="0"/>
        <w:widowControl w:val="0"/>
        <w:kinsoku/>
        <w:wordWrap/>
        <w:overflowPunct/>
        <w:topLinePunct w:val="0"/>
        <w:bidi w:val="0"/>
        <w:snapToGrid w:val="0"/>
        <w:spacing w:line="312" w:lineRule="auto"/>
        <w:ind w:firstLine="440" w:firstLineChars="200"/>
        <w:textAlignment w:val="auto"/>
        <w:rPr>
          <w:rFonts w:ascii="宋体" w:hAnsi="宋体"/>
          <w:color w:val="auto"/>
          <w:sz w:val="22"/>
          <w:szCs w:val="22"/>
          <w:highlight w:val="none"/>
        </w:rPr>
      </w:pPr>
      <w:r>
        <w:rPr>
          <w:rFonts w:hint="eastAsia" w:ascii="宋体" w:hAnsi="宋体"/>
          <w:color w:val="auto"/>
          <w:sz w:val="22"/>
          <w:szCs w:val="22"/>
          <w:highlight w:val="none"/>
        </w:rPr>
        <w:t>2、投标文件“正本”与“副本”均要求装订成册。</w:t>
      </w:r>
    </w:p>
    <w:p w14:paraId="57872A55">
      <w:pPr>
        <w:keepNext w:val="0"/>
        <w:keepLines w:val="0"/>
        <w:pageBreakBefore w:val="0"/>
        <w:widowControl w:val="0"/>
        <w:kinsoku/>
        <w:wordWrap/>
        <w:overflowPunct/>
        <w:topLinePunct w:val="0"/>
        <w:bidi w:val="0"/>
        <w:snapToGrid w:val="0"/>
        <w:spacing w:line="312" w:lineRule="auto"/>
        <w:ind w:firstLine="440" w:firstLineChars="200"/>
        <w:textAlignment w:val="auto"/>
        <w:rPr>
          <w:color w:val="auto"/>
          <w:sz w:val="22"/>
          <w:szCs w:val="24"/>
          <w:highlight w:val="none"/>
        </w:rPr>
      </w:pPr>
      <w:r>
        <w:rPr>
          <w:rFonts w:hint="eastAsia" w:ascii="宋体" w:hAnsi="宋体"/>
          <w:color w:val="auto"/>
          <w:sz w:val="22"/>
          <w:szCs w:val="22"/>
          <w:highlight w:val="none"/>
        </w:rPr>
        <w:t>3、全套投标文件应无涂改和行间插字，除非是投标人造成的必须修改的错误，但修改处应加盖印鉴。</w:t>
      </w:r>
      <w:bookmarkStart w:id="15" w:name="_Toc29389653"/>
    </w:p>
    <w:p w14:paraId="1D865C1B">
      <w:pPr>
        <w:pStyle w:val="3"/>
        <w:keepLines w:val="0"/>
        <w:pageBreakBefore w:val="0"/>
        <w:wordWrap/>
        <w:overflowPunct/>
        <w:topLinePunct w:val="0"/>
        <w:bidi w:val="0"/>
        <w:snapToGrid w:val="0"/>
        <w:spacing w:before="0" w:after="0" w:line="312" w:lineRule="auto"/>
        <w:rPr>
          <w:color w:val="auto"/>
          <w:sz w:val="32"/>
          <w:szCs w:val="32"/>
          <w:highlight w:val="none"/>
        </w:rPr>
      </w:pPr>
      <w:bookmarkStart w:id="16" w:name="_Toc18253"/>
      <w:r>
        <w:rPr>
          <w:rFonts w:hint="eastAsia"/>
          <w:color w:val="auto"/>
          <w:sz w:val="32"/>
          <w:szCs w:val="32"/>
          <w:highlight w:val="none"/>
          <w:lang w:eastAsia="zh-CN"/>
        </w:rPr>
        <w:t>五</w:t>
      </w:r>
      <w:r>
        <w:rPr>
          <w:rFonts w:hint="eastAsia"/>
          <w:color w:val="auto"/>
          <w:sz w:val="32"/>
          <w:szCs w:val="32"/>
          <w:highlight w:val="none"/>
        </w:rPr>
        <w:t>、投标文件的递交</w:t>
      </w:r>
      <w:bookmarkEnd w:id="15"/>
      <w:bookmarkEnd w:id="16"/>
    </w:p>
    <w:p w14:paraId="1F52511C">
      <w:pPr>
        <w:keepNext w:val="0"/>
        <w:keepLines w:val="0"/>
        <w:pageBreakBefore w:val="0"/>
        <w:widowControl w:val="0"/>
        <w:kinsoku/>
        <w:wordWrap/>
        <w:overflowPunct/>
        <w:topLinePunct w:val="0"/>
        <w:autoSpaceDE/>
        <w:autoSpaceDN/>
        <w:bidi w:val="0"/>
        <w:adjustRightInd/>
        <w:snapToGrid w:val="0"/>
        <w:spacing w:line="312" w:lineRule="auto"/>
        <w:ind w:firstLine="442" w:firstLineChars="200"/>
        <w:textAlignment w:val="auto"/>
        <w:rPr>
          <w:rFonts w:ascii="宋体" w:hAnsi="宋体"/>
          <w:b/>
          <w:color w:val="auto"/>
          <w:sz w:val="22"/>
          <w:szCs w:val="22"/>
          <w:highlight w:val="none"/>
        </w:rPr>
      </w:pPr>
      <w:r>
        <w:rPr>
          <w:rFonts w:hint="eastAsia" w:ascii="宋体" w:hAnsi="宋体"/>
          <w:b/>
          <w:color w:val="auto"/>
          <w:sz w:val="22"/>
          <w:szCs w:val="22"/>
          <w:highlight w:val="none"/>
        </w:rPr>
        <w:t>（一）投标文件的密封与标志</w:t>
      </w:r>
    </w:p>
    <w:p w14:paraId="3A698CCE">
      <w:pPr>
        <w:keepNext w:val="0"/>
        <w:keepLines w:val="0"/>
        <w:pageBreakBefore w:val="0"/>
        <w:widowControl w:val="0"/>
        <w:kinsoku/>
        <w:wordWrap/>
        <w:overflowPunct/>
        <w:topLinePunct w:val="0"/>
        <w:autoSpaceDE w:val="0"/>
        <w:autoSpaceDN w:val="0"/>
        <w:bidi w:val="0"/>
        <w:adjustRightInd/>
        <w:snapToGrid w:val="0"/>
        <w:spacing w:line="312" w:lineRule="auto"/>
        <w:ind w:firstLine="440" w:firstLineChars="200"/>
        <w:jc w:val="left"/>
        <w:textAlignment w:val="auto"/>
        <w:rPr>
          <w:rFonts w:hint="eastAsia" w:ascii="宋体" w:hAnsi="宋体"/>
          <w:color w:val="auto"/>
          <w:sz w:val="22"/>
          <w:szCs w:val="22"/>
          <w:highlight w:val="none"/>
        </w:rPr>
      </w:pPr>
      <w:r>
        <w:rPr>
          <w:rFonts w:hint="eastAsia" w:ascii="宋体" w:hAnsi="宋体"/>
          <w:color w:val="auto"/>
          <w:sz w:val="22"/>
          <w:szCs w:val="22"/>
          <w:highlight w:val="none"/>
        </w:rPr>
        <w:t>1.投标文件的资格审查资料、</w:t>
      </w:r>
      <w:r>
        <w:rPr>
          <w:rFonts w:hint="eastAsia" w:ascii="宋体" w:hAnsi="宋体"/>
          <w:color w:val="auto"/>
          <w:sz w:val="22"/>
          <w:szCs w:val="22"/>
          <w:highlight w:val="none"/>
          <w:lang w:eastAsia="zh-CN"/>
        </w:rPr>
        <w:t>技术标、</w:t>
      </w:r>
      <w:r>
        <w:rPr>
          <w:rFonts w:hint="eastAsia" w:ascii="宋体" w:hAnsi="宋体"/>
          <w:color w:val="auto"/>
          <w:sz w:val="22"/>
          <w:szCs w:val="22"/>
          <w:highlight w:val="none"/>
        </w:rPr>
        <w:t>商务标应分开包装，分别加贴封条，并在封套的封口处加盖投标人单位章。</w:t>
      </w:r>
    </w:p>
    <w:p w14:paraId="0A29365A">
      <w:pPr>
        <w:keepNext w:val="0"/>
        <w:keepLines w:val="0"/>
        <w:pageBreakBefore w:val="0"/>
        <w:widowControl w:val="0"/>
        <w:kinsoku/>
        <w:wordWrap/>
        <w:overflowPunct/>
        <w:topLinePunct w:val="0"/>
        <w:autoSpaceDE w:val="0"/>
        <w:autoSpaceDN w:val="0"/>
        <w:bidi w:val="0"/>
        <w:adjustRightInd/>
        <w:snapToGrid w:val="0"/>
        <w:spacing w:line="312" w:lineRule="auto"/>
        <w:ind w:firstLine="440" w:firstLineChars="200"/>
        <w:jc w:val="left"/>
        <w:textAlignment w:val="auto"/>
        <w:rPr>
          <w:rFonts w:hint="eastAsia" w:ascii="宋体" w:hAnsi="宋体"/>
          <w:color w:val="auto"/>
          <w:sz w:val="22"/>
          <w:szCs w:val="22"/>
          <w:highlight w:val="none"/>
        </w:rPr>
      </w:pPr>
      <w:r>
        <w:rPr>
          <w:rFonts w:hint="eastAsia" w:ascii="宋体" w:hAnsi="宋体"/>
          <w:color w:val="auto"/>
          <w:sz w:val="22"/>
          <w:szCs w:val="22"/>
          <w:highlight w:val="none"/>
        </w:rPr>
        <w:t>2.包封都应写明项目名称、招标人名称及投标人名称，同时在包封中分别注明“资格审查资料”</w:t>
      </w:r>
      <w:r>
        <w:rPr>
          <w:rFonts w:hint="eastAsia" w:ascii="宋体" w:hAnsi="宋体"/>
          <w:color w:val="auto"/>
          <w:sz w:val="22"/>
          <w:szCs w:val="22"/>
          <w:highlight w:val="none"/>
          <w:lang w:eastAsia="zh-CN"/>
        </w:rPr>
        <w:t>“技术标”</w:t>
      </w:r>
      <w:r>
        <w:rPr>
          <w:rFonts w:hint="eastAsia" w:ascii="宋体" w:hAnsi="宋体"/>
          <w:color w:val="auto"/>
          <w:sz w:val="22"/>
          <w:szCs w:val="22"/>
          <w:highlight w:val="none"/>
        </w:rPr>
        <w:t>和“商务标”。</w:t>
      </w:r>
    </w:p>
    <w:p w14:paraId="57344E3B">
      <w:pPr>
        <w:keepNext w:val="0"/>
        <w:keepLines w:val="0"/>
        <w:pageBreakBefore w:val="0"/>
        <w:widowControl w:val="0"/>
        <w:kinsoku/>
        <w:wordWrap/>
        <w:overflowPunct/>
        <w:topLinePunct w:val="0"/>
        <w:autoSpaceDE w:val="0"/>
        <w:autoSpaceDN w:val="0"/>
        <w:bidi w:val="0"/>
        <w:adjustRightInd/>
        <w:snapToGrid w:val="0"/>
        <w:spacing w:line="312" w:lineRule="auto"/>
        <w:ind w:firstLine="440" w:firstLineChars="200"/>
        <w:jc w:val="left"/>
        <w:textAlignment w:val="auto"/>
        <w:rPr>
          <w:rFonts w:ascii="宋体" w:hAnsi="宋体"/>
          <w:color w:val="auto"/>
          <w:sz w:val="22"/>
          <w:szCs w:val="22"/>
          <w:highlight w:val="none"/>
        </w:rPr>
      </w:pPr>
      <w:r>
        <w:rPr>
          <w:rFonts w:hint="eastAsia" w:ascii="宋体" w:hAnsi="宋体"/>
          <w:color w:val="auto"/>
          <w:sz w:val="22"/>
          <w:szCs w:val="22"/>
          <w:highlight w:val="none"/>
        </w:rPr>
        <w:t>3</w:t>
      </w:r>
      <w:r>
        <w:rPr>
          <w:rFonts w:hint="eastAsia" w:ascii="宋体" w:hAnsi="宋体"/>
          <w:color w:val="auto"/>
          <w:sz w:val="22"/>
          <w:szCs w:val="22"/>
          <w:highlight w:val="none"/>
          <w:lang w:val="en-US" w:eastAsia="zh-CN"/>
        </w:rPr>
        <w:t>.</w:t>
      </w:r>
      <w:r>
        <w:rPr>
          <w:rFonts w:hint="eastAsia" w:ascii="宋体" w:hAnsi="宋体"/>
          <w:color w:val="auto"/>
          <w:sz w:val="22"/>
          <w:szCs w:val="22"/>
          <w:highlight w:val="none"/>
        </w:rPr>
        <w:t>投标文件没有按规定密封的，将被拒绝并原封退回投标人，作无效标处理。</w:t>
      </w:r>
    </w:p>
    <w:p w14:paraId="1F5A017A">
      <w:pPr>
        <w:keepNext w:val="0"/>
        <w:keepLines w:val="0"/>
        <w:pageBreakBefore w:val="0"/>
        <w:widowControl w:val="0"/>
        <w:kinsoku/>
        <w:wordWrap/>
        <w:overflowPunct/>
        <w:topLinePunct w:val="0"/>
        <w:autoSpaceDE/>
        <w:autoSpaceDN/>
        <w:bidi w:val="0"/>
        <w:adjustRightInd/>
        <w:snapToGrid w:val="0"/>
        <w:spacing w:line="312" w:lineRule="auto"/>
        <w:ind w:firstLine="442" w:firstLineChars="200"/>
        <w:textAlignment w:val="auto"/>
        <w:rPr>
          <w:rFonts w:ascii="宋体" w:hAnsi="宋体"/>
          <w:b/>
          <w:color w:val="auto"/>
          <w:sz w:val="22"/>
          <w:szCs w:val="22"/>
          <w:highlight w:val="none"/>
        </w:rPr>
      </w:pPr>
      <w:r>
        <w:rPr>
          <w:rFonts w:hint="eastAsia" w:ascii="宋体" w:hAnsi="宋体"/>
          <w:b/>
          <w:color w:val="auto"/>
          <w:sz w:val="22"/>
          <w:szCs w:val="22"/>
          <w:highlight w:val="none"/>
        </w:rPr>
        <w:t>（二）投标文件截止送达及时限</w:t>
      </w:r>
    </w:p>
    <w:p w14:paraId="3F544E89">
      <w:pPr>
        <w:keepNext w:val="0"/>
        <w:keepLines w:val="0"/>
        <w:pageBreakBefore w:val="0"/>
        <w:widowControl w:val="0"/>
        <w:kinsoku/>
        <w:wordWrap/>
        <w:overflowPunct/>
        <w:topLinePunct w:val="0"/>
        <w:autoSpaceDE w:val="0"/>
        <w:autoSpaceDN w:val="0"/>
        <w:bidi w:val="0"/>
        <w:adjustRightInd/>
        <w:snapToGrid w:val="0"/>
        <w:spacing w:line="312" w:lineRule="auto"/>
        <w:ind w:firstLine="440" w:firstLineChars="200"/>
        <w:jc w:val="left"/>
        <w:textAlignment w:val="auto"/>
        <w:rPr>
          <w:rFonts w:hint="eastAsia" w:ascii="宋体" w:hAnsi="宋体"/>
          <w:color w:val="auto"/>
          <w:sz w:val="22"/>
          <w:szCs w:val="22"/>
          <w:highlight w:val="none"/>
        </w:rPr>
      </w:pPr>
      <w:r>
        <w:rPr>
          <w:rFonts w:hint="eastAsia" w:ascii="宋体" w:hAnsi="宋体"/>
          <w:color w:val="auto"/>
          <w:sz w:val="22"/>
          <w:szCs w:val="22"/>
          <w:highlight w:val="none"/>
        </w:rPr>
        <w:t>1.投标人递交投标文件按投标人须知前附表规定的时限和地点，逾期送达或者未送达指定地点的投标文件，招标人不予受理。</w:t>
      </w:r>
    </w:p>
    <w:p w14:paraId="4A70BD45">
      <w:pPr>
        <w:keepNext w:val="0"/>
        <w:keepLines w:val="0"/>
        <w:pageBreakBefore w:val="0"/>
        <w:widowControl w:val="0"/>
        <w:kinsoku/>
        <w:wordWrap/>
        <w:overflowPunct/>
        <w:topLinePunct w:val="0"/>
        <w:autoSpaceDE w:val="0"/>
        <w:autoSpaceDN w:val="0"/>
        <w:bidi w:val="0"/>
        <w:adjustRightInd/>
        <w:snapToGrid w:val="0"/>
        <w:spacing w:line="312" w:lineRule="auto"/>
        <w:ind w:firstLine="440" w:firstLineChars="200"/>
        <w:jc w:val="left"/>
        <w:textAlignment w:val="auto"/>
        <w:rPr>
          <w:rFonts w:hint="eastAsia"/>
          <w:color w:val="auto"/>
          <w:sz w:val="22"/>
          <w:szCs w:val="28"/>
          <w:highlight w:val="none"/>
        </w:rPr>
      </w:pPr>
      <w:r>
        <w:rPr>
          <w:rFonts w:hint="eastAsia" w:ascii="宋体" w:hAnsi="宋体"/>
          <w:color w:val="auto"/>
          <w:sz w:val="22"/>
          <w:szCs w:val="22"/>
          <w:highlight w:val="none"/>
        </w:rPr>
        <w:t>2.投标</w:t>
      </w:r>
      <w:r>
        <w:rPr>
          <w:rFonts w:hint="eastAsia"/>
          <w:color w:val="auto"/>
          <w:sz w:val="22"/>
          <w:szCs w:val="28"/>
          <w:highlight w:val="none"/>
        </w:rPr>
        <w:t>人在按规定延长递交投标文件的截止日期时，按延长后新的投标截止期确定。</w:t>
      </w:r>
    </w:p>
    <w:p w14:paraId="40B7AFEE">
      <w:pPr>
        <w:keepNext w:val="0"/>
        <w:keepLines w:val="0"/>
        <w:pageBreakBefore w:val="0"/>
        <w:widowControl w:val="0"/>
        <w:kinsoku/>
        <w:wordWrap/>
        <w:overflowPunct/>
        <w:topLinePunct w:val="0"/>
        <w:autoSpaceDE/>
        <w:autoSpaceDN/>
        <w:bidi w:val="0"/>
        <w:adjustRightInd/>
        <w:snapToGrid w:val="0"/>
        <w:spacing w:line="312" w:lineRule="auto"/>
        <w:ind w:firstLine="495" w:firstLineChars="224"/>
        <w:textAlignment w:val="auto"/>
        <w:rPr>
          <w:rFonts w:ascii="宋体" w:hAnsi="宋体"/>
          <w:b/>
          <w:color w:val="auto"/>
          <w:sz w:val="22"/>
          <w:szCs w:val="22"/>
          <w:highlight w:val="none"/>
        </w:rPr>
      </w:pPr>
      <w:r>
        <w:rPr>
          <w:rFonts w:hint="eastAsia" w:ascii="宋体" w:hAnsi="宋体"/>
          <w:b/>
          <w:color w:val="auto"/>
          <w:sz w:val="22"/>
          <w:szCs w:val="22"/>
          <w:highlight w:val="none"/>
        </w:rPr>
        <w:t>（三）投标文件的修改与撤回</w:t>
      </w:r>
    </w:p>
    <w:p w14:paraId="6BF1742D">
      <w:pPr>
        <w:keepNext w:val="0"/>
        <w:keepLines w:val="0"/>
        <w:pageBreakBefore w:val="0"/>
        <w:widowControl w:val="0"/>
        <w:kinsoku/>
        <w:wordWrap/>
        <w:overflowPunct/>
        <w:topLinePunct w:val="0"/>
        <w:autoSpaceDE w:val="0"/>
        <w:autoSpaceDN w:val="0"/>
        <w:bidi w:val="0"/>
        <w:adjustRightInd/>
        <w:snapToGrid w:val="0"/>
        <w:spacing w:line="312" w:lineRule="auto"/>
        <w:ind w:firstLine="440" w:firstLineChars="200"/>
        <w:jc w:val="left"/>
        <w:textAlignment w:val="auto"/>
        <w:rPr>
          <w:rFonts w:hint="eastAsia" w:ascii="宋体" w:hAnsi="宋体"/>
          <w:color w:val="auto"/>
          <w:sz w:val="22"/>
          <w:szCs w:val="22"/>
          <w:highlight w:val="none"/>
        </w:rPr>
      </w:pPr>
      <w:r>
        <w:rPr>
          <w:rFonts w:hint="eastAsia" w:ascii="宋体" w:hAnsi="宋体"/>
          <w:color w:val="auto"/>
          <w:sz w:val="22"/>
          <w:szCs w:val="22"/>
          <w:highlight w:val="none"/>
        </w:rPr>
        <w:t>1.投标人递交投标文件以后，在规定的投标截止时间之前，可以书面形式提出补充修改其投标文件，在投标截止时间以后，不能更改投标文件。</w:t>
      </w:r>
    </w:p>
    <w:p w14:paraId="2AC403CE">
      <w:pPr>
        <w:keepNext w:val="0"/>
        <w:keepLines w:val="0"/>
        <w:pageBreakBefore w:val="0"/>
        <w:widowControl w:val="0"/>
        <w:kinsoku/>
        <w:wordWrap/>
        <w:overflowPunct/>
        <w:topLinePunct w:val="0"/>
        <w:autoSpaceDE w:val="0"/>
        <w:autoSpaceDN w:val="0"/>
        <w:bidi w:val="0"/>
        <w:adjustRightInd/>
        <w:snapToGrid w:val="0"/>
        <w:spacing w:line="312" w:lineRule="auto"/>
        <w:ind w:firstLine="440" w:firstLineChars="200"/>
        <w:jc w:val="left"/>
        <w:textAlignment w:val="auto"/>
        <w:rPr>
          <w:rFonts w:hint="eastAsia"/>
          <w:color w:val="auto"/>
          <w:sz w:val="22"/>
          <w:szCs w:val="28"/>
          <w:highlight w:val="none"/>
        </w:rPr>
      </w:pPr>
      <w:r>
        <w:rPr>
          <w:rFonts w:hint="eastAsia" w:ascii="宋体" w:hAnsi="宋体"/>
          <w:color w:val="auto"/>
          <w:sz w:val="22"/>
          <w:szCs w:val="22"/>
          <w:highlight w:val="none"/>
        </w:rPr>
        <w:t>2.投标</w:t>
      </w:r>
      <w:r>
        <w:rPr>
          <w:rFonts w:hint="eastAsia"/>
          <w:color w:val="auto"/>
          <w:sz w:val="22"/>
          <w:szCs w:val="28"/>
          <w:highlight w:val="none"/>
        </w:rPr>
        <w:t>人的补充修改，应按规定编制、密封、标志和递交，并在包封上标明“修改”字样。</w:t>
      </w:r>
    </w:p>
    <w:p w14:paraId="0F301C63">
      <w:pPr>
        <w:keepNext w:val="0"/>
        <w:keepLines w:val="0"/>
        <w:pageBreakBefore w:val="0"/>
        <w:widowControl w:val="0"/>
        <w:kinsoku/>
        <w:wordWrap/>
        <w:overflowPunct/>
        <w:topLinePunct w:val="0"/>
        <w:autoSpaceDE w:val="0"/>
        <w:autoSpaceDN w:val="0"/>
        <w:bidi w:val="0"/>
        <w:adjustRightInd/>
        <w:snapToGrid w:val="0"/>
        <w:spacing w:line="312" w:lineRule="auto"/>
        <w:ind w:firstLine="440" w:firstLineChars="200"/>
        <w:jc w:val="left"/>
        <w:textAlignment w:val="auto"/>
        <w:rPr>
          <w:rFonts w:hint="eastAsia" w:ascii="宋体" w:hAnsi="宋体"/>
          <w:color w:val="auto"/>
          <w:sz w:val="22"/>
          <w:szCs w:val="22"/>
          <w:highlight w:val="none"/>
        </w:rPr>
      </w:pPr>
      <w:r>
        <w:rPr>
          <w:rFonts w:hint="eastAsia" w:ascii="宋体" w:hAnsi="宋体"/>
          <w:color w:val="auto"/>
          <w:sz w:val="22"/>
          <w:szCs w:val="22"/>
          <w:highlight w:val="none"/>
        </w:rPr>
        <w:t>3</w:t>
      </w:r>
      <w:r>
        <w:rPr>
          <w:rFonts w:hint="eastAsia" w:ascii="宋体" w:hAnsi="宋体"/>
          <w:color w:val="auto"/>
          <w:sz w:val="22"/>
          <w:szCs w:val="22"/>
          <w:highlight w:val="none"/>
          <w:lang w:val="en-US" w:eastAsia="zh-CN"/>
        </w:rPr>
        <w:t>.</w:t>
      </w:r>
      <w:r>
        <w:rPr>
          <w:rFonts w:hint="eastAsia" w:ascii="宋体" w:hAnsi="宋体"/>
          <w:color w:val="auto"/>
          <w:sz w:val="22"/>
          <w:szCs w:val="22"/>
          <w:highlight w:val="none"/>
        </w:rPr>
        <w:t>在</w:t>
      </w:r>
      <w:r>
        <w:rPr>
          <w:rFonts w:hint="eastAsia"/>
          <w:color w:val="auto"/>
          <w:sz w:val="22"/>
          <w:szCs w:val="28"/>
          <w:highlight w:val="none"/>
        </w:rPr>
        <w:t>投标截止时间</w:t>
      </w:r>
      <w:r>
        <w:rPr>
          <w:rFonts w:hint="eastAsia" w:ascii="宋体" w:hAnsi="宋体"/>
          <w:color w:val="auto"/>
          <w:sz w:val="22"/>
          <w:szCs w:val="22"/>
          <w:highlight w:val="none"/>
          <w:lang w:eastAsia="zh-CN"/>
        </w:rPr>
        <w:t>至</w:t>
      </w:r>
      <w:r>
        <w:rPr>
          <w:rFonts w:hint="eastAsia" w:ascii="宋体" w:hAnsi="宋体"/>
          <w:color w:val="auto"/>
          <w:sz w:val="22"/>
          <w:szCs w:val="22"/>
          <w:highlight w:val="none"/>
        </w:rPr>
        <w:t>招标文件规定中规定的有效期终止日期间内，投标单位不得撤回投标文件。</w:t>
      </w:r>
    </w:p>
    <w:p w14:paraId="38E8A3FB">
      <w:pPr>
        <w:pStyle w:val="3"/>
        <w:keepLines w:val="0"/>
        <w:pageBreakBefore w:val="0"/>
        <w:numPr>
          <w:ilvl w:val="1"/>
          <w:numId w:val="0"/>
        </w:numPr>
        <w:wordWrap/>
        <w:overflowPunct/>
        <w:topLinePunct w:val="0"/>
        <w:bidi w:val="0"/>
        <w:snapToGrid w:val="0"/>
        <w:spacing w:before="0" w:after="0" w:line="312" w:lineRule="auto"/>
        <w:jc w:val="center"/>
        <w:rPr>
          <w:rFonts w:hint="eastAsia" w:eastAsia="宋体"/>
          <w:color w:val="auto"/>
          <w:sz w:val="32"/>
          <w:szCs w:val="32"/>
          <w:highlight w:val="none"/>
          <w:lang w:val="zh-CN" w:eastAsia="zh-CN"/>
        </w:rPr>
      </w:pPr>
      <w:bookmarkStart w:id="17" w:name="_Toc16687"/>
      <w:bookmarkStart w:id="18" w:name="_Toc29389654"/>
      <w:r>
        <w:rPr>
          <w:rFonts w:hint="eastAsia"/>
          <w:color w:val="auto"/>
          <w:sz w:val="32"/>
          <w:szCs w:val="32"/>
          <w:highlight w:val="none"/>
          <w:lang w:eastAsia="zh-CN"/>
        </w:rPr>
        <w:t>六</w:t>
      </w:r>
      <w:r>
        <w:rPr>
          <w:rFonts w:hint="eastAsia"/>
          <w:color w:val="auto"/>
          <w:sz w:val="32"/>
          <w:szCs w:val="32"/>
          <w:highlight w:val="none"/>
        </w:rPr>
        <w:t>、</w:t>
      </w:r>
      <w:bookmarkEnd w:id="17"/>
      <w:bookmarkEnd w:id="18"/>
      <w:r>
        <w:rPr>
          <w:rFonts w:hint="eastAsia"/>
          <w:color w:val="auto"/>
          <w:sz w:val="32"/>
          <w:szCs w:val="32"/>
          <w:highlight w:val="none"/>
          <w:lang w:eastAsia="zh-CN"/>
        </w:rPr>
        <w:t>开</w:t>
      </w:r>
      <w:r>
        <w:rPr>
          <w:rFonts w:hint="eastAsia"/>
          <w:color w:val="auto"/>
          <w:sz w:val="32"/>
          <w:szCs w:val="32"/>
          <w:highlight w:val="none"/>
          <w:lang w:val="en-US" w:eastAsia="zh-CN"/>
        </w:rPr>
        <w:t xml:space="preserve"> </w:t>
      </w:r>
      <w:r>
        <w:rPr>
          <w:rFonts w:hint="eastAsia"/>
          <w:color w:val="auto"/>
          <w:sz w:val="32"/>
          <w:szCs w:val="32"/>
          <w:highlight w:val="none"/>
          <w:lang w:eastAsia="zh-CN"/>
        </w:rPr>
        <w:t>标</w:t>
      </w:r>
    </w:p>
    <w:p w14:paraId="42920581">
      <w:pPr>
        <w:keepNext w:val="0"/>
        <w:keepLines w:val="0"/>
        <w:pageBreakBefore w:val="0"/>
        <w:widowControl w:val="0"/>
        <w:kinsoku/>
        <w:wordWrap/>
        <w:overflowPunct/>
        <w:topLinePunct w:val="0"/>
        <w:autoSpaceDE/>
        <w:autoSpaceDN/>
        <w:bidi w:val="0"/>
        <w:adjustRightInd/>
        <w:snapToGrid w:val="0"/>
        <w:spacing w:line="312" w:lineRule="auto"/>
        <w:ind w:firstLine="442" w:firstLineChars="200"/>
        <w:textAlignment w:val="auto"/>
        <w:outlineLvl w:val="0"/>
        <w:rPr>
          <w:rFonts w:hint="eastAsia" w:ascii="宋体" w:hAnsi="宋体" w:cs="Times New Roman"/>
          <w:b/>
          <w:color w:val="auto"/>
          <w:sz w:val="22"/>
          <w:szCs w:val="22"/>
          <w:highlight w:val="none"/>
        </w:rPr>
      </w:pPr>
      <w:bookmarkStart w:id="19" w:name="_Toc25351"/>
      <w:bookmarkStart w:id="20" w:name="_Toc9292"/>
      <w:bookmarkStart w:id="21" w:name="_Toc24132"/>
      <w:bookmarkStart w:id="22" w:name="_Toc9617"/>
      <w:bookmarkStart w:id="23" w:name="_Toc26718"/>
      <w:bookmarkStart w:id="24" w:name="_Toc6923"/>
      <w:bookmarkStart w:id="25" w:name="_Toc25497"/>
      <w:r>
        <w:rPr>
          <w:rFonts w:hint="eastAsia" w:ascii="宋体" w:hAnsi="宋体"/>
          <w:b/>
          <w:color w:val="auto"/>
          <w:sz w:val="22"/>
          <w:szCs w:val="22"/>
          <w:highlight w:val="none"/>
        </w:rPr>
        <w:t>（一）</w:t>
      </w:r>
      <w:r>
        <w:rPr>
          <w:rFonts w:hint="eastAsia" w:ascii="宋体" w:hAnsi="宋体"/>
          <w:b/>
          <w:color w:val="auto"/>
          <w:sz w:val="22"/>
          <w:szCs w:val="22"/>
          <w:highlight w:val="none"/>
          <w:lang w:eastAsia="zh-CN"/>
        </w:rPr>
        <w:t>开</w:t>
      </w:r>
      <w:r>
        <w:rPr>
          <w:rFonts w:hint="eastAsia" w:ascii="宋体" w:hAnsi="宋体" w:cs="Times New Roman"/>
          <w:b/>
          <w:color w:val="auto"/>
          <w:sz w:val="22"/>
          <w:szCs w:val="22"/>
          <w:highlight w:val="none"/>
        </w:rPr>
        <w:t>标会议程序</w:t>
      </w:r>
      <w:bookmarkEnd w:id="19"/>
      <w:bookmarkEnd w:id="20"/>
      <w:bookmarkEnd w:id="21"/>
      <w:bookmarkEnd w:id="22"/>
      <w:bookmarkEnd w:id="23"/>
      <w:bookmarkEnd w:id="24"/>
      <w:bookmarkEnd w:id="25"/>
    </w:p>
    <w:p w14:paraId="4F60D38C">
      <w:pPr>
        <w:keepNext w:val="0"/>
        <w:keepLines w:val="0"/>
        <w:pageBreakBefore w:val="0"/>
        <w:widowControl w:val="0"/>
        <w:kinsoku/>
        <w:wordWrap/>
        <w:overflowPunct/>
        <w:topLinePunct w:val="0"/>
        <w:autoSpaceDE/>
        <w:autoSpaceDN/>
        <w:bidi w:val="0"/>
        <w:adjustRightInd/>
        <w:snapToGrid w:val="0"/>
        <w:spacing w:line="312" w:lineRule="auto"/>
        <w:ind w:firstLine="440" w:firstLineChars="200"/>
        <w:textAlignment w:val="auto"/>
        <w:outlineLvl w:val="0"/>
        <w:rPr>
          <w:rFonts w:hint="eastAsia" w:ascii="宋体" w:hAnsi="宋体" w:cs="Times New Roman"/>
          <w:color w:val="auto"/>
          <w:sz w:val="22"/>
          <w:szCs w:val="22"/>
          <w:highlight w:val="none"/>
        </w:rPr>
      </w:pPr>
      <w:r>
        <w:rPr>
          <w:rFonts w:hint="eastAsia" w:ascii="宋体" w:hAnsi="宋体" w:cs="Times New Roman"/>
          <w:color w:val="auto"/>
          <w:sz w:val="22"/>
          <w:szCs w:val="22"/>
          <w:highlight w:val="none"/>
        </w:rPr>
        <w:t>1</w:t>
      </w:r>
      <w:r>
        <w:rPr>
          <w:rFonts w:hint="eastAsia" w:ascii="宋体" w:hAnsi="宋体" w:cs="Times New Roman"/>
          <w:color w:val="auto"/>
          <w:sz w:val="22"/>
          <w:szCs w:val="22"/>
          <w:highlight w:val="none"/>
          <w:lang w:val="en-US" w:eastAsia="zh-CN"/>
        </w:rPr>
        <w:t>.</w:t>
      </w:r>
      <w:r>
        <w:rPr>
          <w:rFonts w:hint="eastAsia" w:ascii="宋体" w:hAnsi="宋体"/>
          <w:b/>
          <w:color w:val="auto"/>
          <w:sz w:val="22"/>
          <w:szCs w:val="22"/>
          <w:highlight w:val="none"/>
        </w:rPr>
        <w:t>投标人不需要到开标现场参加开标会议</w:t>
      </w:r>
      <w:r>
        <w:rPr>
          <w:rFonts w:hint="eastAsia" w:ascii="宋体" w:hAnsi="宋体"/>
          <w:b/>
          <w:color w:val="auto"/>
          <w:sz w:val="22"/>
          <w:szCs w:val="22"/>
          <w:highlight w:val="none"/>
          <w:lang w:eastAsia="zh-CN"/>
        </w:rPr>
        <w:t>（投标文件即交即走）</w:t>
      </w:r>
      <w:r>
        <w:rPr>
          <w:rFonts w:hint="eastAsia" w:ascii="宋体" w:hAnsi="宋体" w:cs="Times New Roman"/>
          <w:color w:val="auto"/>
          <w:sz w:val="22"/>
          <w:szCs w:val="22"/>
          <w:highlight w:val="none"/>
        </w:rPr>
        <w:t>；</w:t>
      </w:r>
    </w:p>
    <w:p w14:paraId="51A41EF4">
      <w:pPr>
        <w:keepNext w:val="0"/>
        <w:keepLines w:val="0"/>
        <w:pageBreakBefore w:val="0"/>
        <w:widowControl w:val="0"/>
        <w:kinsoku/>
        <w:wordWrap/>
        <w:overflowPunct/>
        <w:topLinePunct w:val="0"/>
        <w:autoSpaceDE/>
        <w:autoSpaceDN/>
        <w:bidi w:val="0"/>
        <w:adjustRightInd/>
        <w:snapToGrid w:val="0"/>
        <w:spacing w:line="312" w:lineRule="auto"/>
        <w:ind w:firstLine="440" w:firstLineChars="200"/>
        <w:textAlignment w:val="auto"/>
        <w:outlineLvl w:val="0"/>
        <w:rPr>
          <w:rFonts w:hint="eastAsia" w:ascii="宋体" w:hAnsi="宋体"/>
          <w:color w:val="auto"/>
          <w:sz w:val="22"/>
          <w:szCs w:val="22"/>
          <w:highlight w:val="none"/>
        </w:rPr>
      </w:pPr>
      <w:r>
        <w:rPr>
          <w:rFonts w:hint="eastAsia" w:ascii="宋体" w:hAnsi="宋体"/>
          <w:color w:val="auto"/>
          <w:sz w:val="22"/>
          <w:szCs w:val="22"/>
          <w:highlight w:val="none"/>
        </w:rPr>
        <w:t>2</w:t>
      </w:r>
      <w:r>
        <w:rPr>
          <w:rFonts w:hint="eastAsia" w:ascii="宋体" w:hAnsi="宋体"/>
          <w:color w:val="auto"/>
          <w:sz w:val="22"/>
          <w:szCs w:val="22"/>
          <w:highlight w:val="none"/>
          <w:lang w:val="en-US" w:eastAsia="zh-CN"/>
        </w:rPr>
        <w:t>.</w:t>
      </w:r>
      <w:r>
        <w:rPr>
          <w:rFonts w:hint="eastAsia" w:ascii="宋体" w:hAnsi="宋体"/>
          <w:color w:val="auto"/>
          <w:sz w:val="22"/>
          <w:szCs w:val="22"/>
          <w:highlight w:val="none"/>
        </w:rPr>
        <w:t>招标人宣布开标会议开始，介绍到会单位及人员；</w:t>
      </w:r>
    </w:p>
    <w:p w14:paraId="1DCAD8D1">
      <w:pPr>
        <w:keepNext w:val="0"/>
        <w:keepLines w:val="0"/>
        <w:pageBreakBefore w:val="0"/>
        <w:widowControl w:val="0"/>
        <w:kinsoku/>
        <w:wordWrap/>
        <w:overflowPunct/>
        <w:topLinePunct w:val="0"/>
        <w:autoSpaceDE/>
        <w:autoSpaceDN/>
        <w:bidi w:val="0"/>
        <w:adjustRightInd/>
        <w:snapToGrid w:val="0"/>
        <w:spacing w:line="312" w:lineRule="auto"/>
        <w:ind w:firstLine="440" w:firstLineChars="200"/>
        <w:textAlignment w:val="auto"/>
        <w:rPr>
          <w:rFonts w:hint="eastAsia" w:ascii="宋体" w:hAnsi="宋体"/>
          <w:color w:val="auto"/>
          <w:sz w:val="22"/>
          <w:szCs w:val="22"/>
          <w:highlight w:val="none"/>
        </w:rPr>
      </w:pPr>
      <w:r>
        <w:rPr>
          <w:rFonts w:hint="eastAsia" w:ascii="宋体" w:hAnsi="宋体"/>
          <w:color w:val="auto"/>
          <w:sz w:val="22"/>
          <w:szCs w:val="22"/>
          <w:highlight w:val="none"/>
        </w:rPr>
        <w:t>3</w:t>
      </w:r>
      <w:r>
        <w:rPr>
          <w:rFonts w:hint="eastAsia" w:ascii="宋体" w:hAnsi="宋体"/>
          <w:color w:val="auto"/>
          <w:sz w:val="22"/>
          <w:szCs w:val="22"/>
          <w:highlight w:val="none"/>
          <w:lang w:val="en-US" w:eastAsia="zh-CN"/>
        </w:rPr>
        <w:t>.</w:t>
      </w:r>
      <w:r>
        <w:rPr>
          <w:rFonts w:hint="eastAsia" w:ascii="宋体" w:hAnsi="宋体"/>
          <w:color w:val="auto"/>
          <w:sz w:val="22"/>
          <w:szCs w:val="22"/>
          <w:highlight w:val="none"/>
        </w:rPr>
        <w:t>检查投标人标书的密封情况和送达时效；</w:t>
      </w:r>
    </w:p>
    <w:p w14:paraId="08CC07F3">
      <w:pPr>
        <w:keepNext w:val="0"/>
        <w:keepLines w:val="0"/>
        <w:pageBreakBefore w:val="0"/>
        <w:widowControl w:val="0"/>
        <w:kinsoku/>
        <w:wordWrap/>
        <w:overflowPunct/>
        <w:topLinePunct w:val="0"/>
        <w:autoSpaceDE/>
        <w:autoSpaceDN/>
        <w:bidi w:val="0"/>
        <w:adjustRightInd/>
        <w:snapToGrid w:val="0"/>
        <w:spacing w:line="312" w:lineRule="auto"/>
        <w:ind w:firstLine="440" w:firstLineChars="200"/>
        <w:textAlignment w:val="auto"/>
        <w:rPr>
          <w:rFonts w:hint="eastAsia" w:ascii="宋体" w:hAnsi="宋体"/>
          <w:color w:val="auto"/>
          <w:sz w:val="22"/>
          <w:szCs w:val="22"/>
          <w:highlight w:val="none"/>
        </w:rPr>
      </w:pPr>
      <w:r>
        <w:rPr>
          <w:rFonts w:hint="eastAsia" w:ascii="宋体" w:hAnsi="宋体"/>
          <w:color w:val="auto"/>
          <w:sz w:val="22"/>
          <w:szCs w:val="22"/>
          <w:highlight w:val="none"/>
          <w:lang w:val="en-US" w:eastAsia="zh-CN"/>
        </w:rPr>
        <w:t>4.</w:t>
      </w:r>
      <w:r>
        <w:rPr>
          <w:rFonts w:hint="eastAsia" w:ascii="宋体" w:hAnsi="宋体"/>
          <w:color w:val="auto"/>
          <w:sz w:val="22"/>
          <w:szCs w:val="22"/>
          <w:highlight w:val="none"/>
        </w:rPr>
        <w:t>启封资格审查资料，</w:t>
      </w:r>
      <w:r>
        <w:rPr>
          <w:rFonts w:hint="eastAsia" w:ascii="宋体" w:hAnsi="宋体"/>
          <w:color w:val="auto"/>
          <w:sz w:val="22"/>
          <w:szCs w:val="22"/>
          <w:highlight w:val="none"/>
          <w:lang w:eastAsia="zh-CN"/>
        </w:rPr>
        <w:t>评标委员会</w:t>
      </w:r>
      <w:r>
        <w:rPr>
          <w:rFonts w:hint="eastAsia" w:ascii="宋体" w:hAnsi="宋体"/>
          <w:color w:val="auto"/>
          <w:sz w:val="22"/>
          <w:szCs w:val="22"/>
          <w:highlight w:val="none"/>
        </w:rPr>
        <w:t>对投标单位资格审查资料进行符合性评审；</w:t>
      </w:r>
    </w:p>
    <w:p w14:paraId="565BB458">
      <w:pPr>
        <w:keepNext w:val="0"/>
        <w:keepLines w:val="0"/>
        <w:pageBreakBefore w:val="0"/>
        <w:widowControl w:val="0"/>
        <w:kinsoku/>
        <w:wordWrap/>
        <w:overflowPunct/>
        <w:topLinePunct w:val="0"/>
        <w:bidi w:val="0"/>
        <w:snapToGrid w:val="0"/>
        <w:spacing w:line="312" w:lineRule="auto"/>
        <w:ind w:left="0" w:leftChars="0" w:firstLine="440" w:firstLineChars="200"/>
        <w:textAlignment w:val="auto"/>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rPr>
        <w:t>启封技术标，评标委员会对投标人的技术标进行综合评议并打分；</w:t>
      </w:r>
    </w:p>
    <w:p w14:paraId="2E14D74D">
      <w:pPr>
        <w:keepNext w:val="0"/>
        <w:keepLines w:val="0"/>
        <w:pageBreakBefore w:val="0"/>
        <w:widowControl w:val="0"/>
        <w:kinsoku/>
        <w:wordWrap/>
        <w:overflowPunct/>
        <w:topLinePunct w:val="0"/>
        <w:autoSpaceDE/>
        <w:autoSpaceDN/>
        <w:bidi w:val="0"/>
        <w:adjustRightInd/>
        <w:snapToGrid w:val="0"/>
        <w:spacing w:line="312" w:lineRule="auto"/>
        <w:ind w:firstLine="440" w:firstLineChars="200"/>
        <w:textAlignment w:val="auto"/>
        <w:rPr>
          <w:rFonts w:hint="eastAsia" w:ascii="宋体" w:hAnsi="宋体"/>
          <w:color w:val="auto"/>
          <w:sz w:val="22"/>
          <w:szCs w:val="22"/>
          <w:highlight w:val="none"/>
        </w:rPr>
      </w:pPr>
      <w:r>
        <w:rPr>
          <w:rFonts w:hint="eastAsia" w:ascii="宋体" w:hAnsi="宋体" w:cs="宋体"/>
          <w:color w:val="auto"/>
          <w:sz w:val="22"/>
          <w:szCs w:val="22"/>
          <w:highlight w:val="none"/>
          <w:lang w:val="en-US" w:eastAsia="zh-CN"/>
        </w:rPr>
        <w:t>6</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宣布各投标人技术标得分；</w:t>
      </w:r>
    </w:p>
    <w:p w14:paraId="67F9574B">
      <w:pPr>
        <w:keepNext w:val="0"/>
        <w:keepLines w:val="0"/>
        <w:pageBreakBefore w:val="0"/>
        <w:widowControl w:val="0"/>
        <w:kinsoku/>
        <w:wordWrap/>
        <w:overflowPunct/>
        <w:topLinePunct w:val="0"/>
        <w:autoSpaceDE/>
        <w:autoSpaceDN/>
        <w:bidi w:val="0"/>
        <w:adjustRightInd/>
        <w:snapToGrid w:val="0"/>
        <w:spacing w:line="312" w:lineRule="auto"/>
        <w:ind w:firstLine="440" w:firstLineChars="200"/>
        <w:textAlignment w:val="auto"/>
        <w:rPr>
          <w:rFonts w:hint="eastAsia" w:ascii="宋体" w:hAnsi="宋体"/>
          <w:color w:val="auto"/>
          <w:sz w:val="22"/>
          <w:szCs w:val="22"/>
          <w:highlight w:val="none"/>
        </w:rPr>
      </w:pPr>
      <w:r>
        <w:rPr>
          <w:rFonts w:hint="eastAsia" w:ascii="宋体" w:hAnsi="宋体"/>
          <w:color w:val="auto"/>
          <w:sz w:val="22"/>
          <w:szCs w:val="22"/>
          <w:highlight w:val="none"/>
          <w:lang w:val="en-US" w:eastAsia="zh-CN"/>
        </w:rPr>
        <w:t>7.</w:t>
      </w:r>
      <w:r>
        <w:rPr>
          <w:rFonts w:hint="eastAsia" w:ascii="宋体" w:hAnsi="宋体"/>
          <w:color w:val="auto"/>
          <w:sz w:val="22"/>
          <w:szCs w:val="22"/>
          <w:highlight w:val="none"/>
        </w:rPr>
        <w:t>启封商务标，</w:t>
      </w:r>
      <w:r>
        <w:rPr>
          <w:rFonts w:hint="eastAsia" w:ascii="宋体" w:hAnsi="宋体"/>
          <w:color w:val="auto"/>
          <w:sz w:val="22"/>
          <w:szCs w:val="22"/>
          <w:highlight w:val="none"/>
          <w:lang w:eastAsia="zh-CN"/>
        </w:rPr>
        <w:t>评标委员会</w:t>
      </w:r>
      <w:r>
        <w:rPr>
          <w:rFonts w:hint="eastAsia" w:ascii="宋体" w:hAnsi="宋体"/>
          <w:color w:val="auto"/>
          <w:sz w:val="22"/>
          <w:szCs w:val="22"/>
          <w:highlight w:val="none"/>
        </w:rPr>
        <w:t>对商务标进行评议并计算得分，宣布商务标得分；</w:t>
      </w:r>
    </w:p>
    <w:p w14:paraId="2AF3D05B">
      <w:pPr>
        <w:keepNext w:val="0"/>
        <w:keepLines w:val="0"/>
        <w:pageBreakBefore w:val="0"/>
        <w:widowControl w:val="0"/>
        <w:kinsoku/>
        <w:wordWrap/>
        <w:overflowPunct/>
        <w:topLinePunct w:val="0"/>
        <w:autoSpaceDE/>
        <w:autoSpaceDN/>
        <w:bidi w:val="0"/>
        <w:adjustRightInd/>
        <w:snapToGrid w:val="0"/>
        <w:spacing w:line="312" w:lineRule="auto"/>
        <w:ind w:firstLine="440" w:firstLineChars="200"/>
        <w:textAlignment w:val="auto"/>
        <w:rPr>
          <w:rFonts w:hint="eastAsia" w:ascii="宋体" w:hAnsi="宋体" w:eastAsia="宋体" w:cs="Times New Roman"/>
          <w:color w:val="auto"/>
          <w:sz w:val="22"/>
          <w:szCs w:val="22"/>
          <w:highlight w:val="none"/>
          <w:lang w:eastAsia="zh-CN"/>
        </w:rPr>
      </w:pPr>
      <w:r>
        <w:rPr>
          <w:rFonts w:hint="eastAsia" w:ascii="宋体" w:hAnsi="宋体"/>
          <w:color w:val="auto"/>
          <w:sz w:val="22"/>
          <w:szCs w:val="22"/>
          <w:highlight w:val="none"/>
          <w:lang w:val="en-US" w:eastAsia="zh-CN"/>
        </w:rPr>
        <w:t>8.</w:t>
      </w:r>
      <w:r>
        <w:rPr>
          <w:rFonts w:hint="eastAsia" w:ascii="宋体" w:hAnsi="宋体"/>
          <w:color w:val="auto"/>
          <w:sz w:val="22"/>
          <w:szCs w:val="22"/>
          <w:highlight w:val="none"/>
        </w:rPr>
        <w:t>宣布各投标人得分</w:t>
      </w:r>
      <w:r>
        <w:rPr>
          <w:rFonts w:hint="eastAsia" w:ascii="宋体" w:hAnsi="宋体"/>
          <w:color w:val="auto"/>
          <w:sz w:val="22"/>
          <w:szCs w:val="22"/>
          <w:highlight w:val="none"/>
          <w:lang w:eastAsia="zh-CN"/>
        </w:rPr>
        <w:t>，</w:t>
      </w:r>
      <w:r>
        <w:rPr>
          <w:rFonts w:hint="eastAsia" w:ascii="宋体" w:hAnsi="宋体"/>
          <w:color w:val="auto"/>
          <w:sz w:val="22"/>
          <w:szCs w:val="22"/>
          <w:highlight w:val="none"/>
        </w:rPr>
        <w:t>根据评标办法确定中标候选人</w:t>
      </w:r>
      <w:r>
        <w:rPr>
          <w:rFonts w:hint="eastAsia" w:ascii="宋体" w:hAnsi="宋体"/>
          <w:color w:val="auto"/>
          <w:sz w:val="22"/>
          <w:szCs w:val="22"/>
          <w:highlight w:val="none"/>
          <w:lang w:eastAsia="zh-CN"/>
        </w:rPr>
        <w:t>。</w:t>
      </w:r>
    </w:p>
    <w:p w14:paraId="0DD70B57">
      <w:pPr>
        <w:keepNext w:val="0"/>
        <w:keepLines w:val="0"/>
        <w:pageBreakBefore w:val="0"/>
        <w:widowControl w:val="0"/>
        <w:kinsoku/>
        <w:wordWrap/>
        <w:overflowPunct/>
        <w:topLinePunct w:val="0"/>
        <w:autoSpaceDE/>
        <w:autoSpaceDN/>
        <w:bidi w:val="0"/>
        <w:adjustRightInd/>
        <w:snapToGrid w:val="0"/>
        <w:spacing w:line="312" w:lineRule="auto"/>
        <w:ind w:firstLine="442" w:firstLineChars="200"/>
        <w:textAlignment w:val="auto"/>
        <w:outlineLvl w:val="0"/>
        <w:rPr>
          <w:rFonts w:ascii="宋体" w:hAnsi="宋体" w:cs="Times New Roman"/>
          <w:b/>
          <w:color w:val="auto"/>
          <w:sz w:val="22"/>
          <w:szCs w:val="22"/>
          <w:highlight w:val="none"/>
        </w:rPr>
      </w:pPr>
      <w:bookmarkStart w:id="26" w:name="_Toc1222"/>
      <w:bookmarkStart w:id="27" w:name="_Toc6029"/>
      <w:bookmarkStart w:id="28" w:name="_Toc2993"/>
      <w:bookmarkStart w:id="29" w:name="_Toc13272"/>
      <w:bookmarkStart w:id="30" w:name="_Toc28872"/>
      <w:bookmarkStart w:id="31" w:name="_Toc25656"/>
      <w:bookmarkStart w:id="32" w:name="_Toc6031"/>
      <w:r>
        <w:rPr>
          <w:rFonts w:hint="eastAsia" w:ascii="宋体" w:hAnsi="宋体"/>
          <w:b/>
          <w:color w:val="auto"/>
          <w:sz w:val="22"/>
          <w:szCs w:val="22"/>
          <w:highlight w:val="none"/>
        </w:rPr>
        <w:t>（二）</w:t>
      </w:r>
      <w:r>
        <w:rPr>
          <w:rFonts w:hint="eastAsia" w:ascii="宋体" w:hAnsi="宋体"/>
          <w:b/>
          <w:color w:val="auto"/>
          <w:sz w:val="22"/>
          <w:szCs w:val="22"/>
          <w:highlight w:val="none"/>
          <w:lang w:eastAsia="zh-CN"/>
        </w:rPr>
        <w:t>开</w:t>
      </w:r>
      <w:r>
        <w:rPr>
          <w:rFonts w:hint="eastAsia" w:ascii="宋体" w:hAnsi="宋体" w:cs="Times New Roman"/>
          <w:b/>
          <w:color w:val="auto"/>
          <w:sz w:val="22"/>
          <w:szCs w:val="22"/>
          <w:highlight w:val="none"/>
        </w:rPr>
        <w:t>标会议基本要求</w:t>
      </w:r>
      <w:bookmarkEnd w:id="26"/>
      <w:bookmarkEnd w:id="27"/>
      <w:bookmarkEnd w:id="28"/>
      <w:bookmarkEnd w:id="29"/>
      <w:bookmarkEnd w:id="30"/>
      <w:bookmarkEnd w:id="31"/>
      <w:bookmarkEnd w:id="32"/>
    </w:p>
    <w:p w14:paraId="3B6C770C">
      <w:pPr>
        <w:keepNext w:val="0"/>
        <w:keepLines w:val="0"/>
        <w:pageBreakBefore w:val="0"/>
        <w:widowControl w:val="0"/>
        <w:kinsoku/>
        <w:wordWrap/>
        <w:overflowPunct/>
        <w:topLinePunct w:val="0"/>
        <w:autoSpaceDE/>
        <w:autoSpaceDN/>
        <w:bidi w:val="0"/>
        <w:adjustRightInd/>
        <w:snapToGrid w:val="0"/>
        <w:spacing w:line="312" w:lineRule="auto"/>
        <w:ind w:firstLine="440" w:firstLineChars="200"/>
        <w:textAlignment w:val="auto"/>
        <w:rPr>
          <w:rFonts w:ascii="宋体" w:hAnsi="宋体"/>
          <w:color w:val="auto"/>
          <w:sz w:val="22"/>
          <w:szCs w:val="22"/>
          <w:highlight w:val="none"/>
        </w:rPr>
      </w:pPr>
      <w:r>
        <w:rPr>
          <w:rFonts w:hint="eastAsia" w:ascii="宋体" w:hAnsi="宋体" w:cs="Times New Roman"/>
          <w:color w:val="auto"/>
          <w:sz w:val="22"/>
          <w:szCs w:val="22"/>
          <w:highlight w:val="none"/>
        </w:rPr>
        <w:t>1</w:t>
      </w:r>
      <w:r>
        <w:rPr>
          <w:rFonts w:hint="eastAsia" w:ascii="宋体" w:hAnsi="宋体" w:cs="Times New Roman"/>
          <w:color w:val="auto"/>
          <w:sz w:val="22"/>
          <w:szCs w:val="22"/>
          <w:highlight w:val="none"/>
          <w:lang w:val="en-US" w:eastAsia="zh-CN"/>
        </w:rPr>
        <w:t>.</w:t>
      </w:r>
      <w:r>
        <w:rPr>
          <w:rFonts w:hint="eastAsia" w:ascii="宋体" w:hAnsi="宋体"/>
          <w:color w:val="auto"/>
          <w:sz w:val="22"/>
          <w:szCs w:val="22"/>
          <w:highlight w:val="none"/>
        </w:rPr>
        <w:t>招标人将于前附表规定的时间和地点（或按规定延长的时间和地点）举行</w:t>
      </w:r>
      <w:r>
        <w:rPr>
          <w:rFonts w:hint="eastAsia" w:ascii="宋体" w:hAnsi="宋体"/>
          <w:color w:val="auto"/>
          <w:sz w:val="22"/>
          <w:szCs w:val="22"/>
          <w:highlight w:val="none"/>
          <w:lang w:eastAsia="zh-CN"/>
        </w:rPr>
        <w:t>开</w:t>
      </w:r>
      <w:r>
        <w:rPr>
          <w:rFonts w:hint="eastAsia" w:ascii="宋体" w:hAnsi="宋体"/>
          <w:color w:val="auto"/>
          <w:sz w:val="22"/>
          <w:szCs w:val="22"/>
          <w:highlight w:val="none"/>
        </w:rPr>
        <w:t>标会议，本项目采用现场递交</w:t>
      </w:r>
      <w:r>
        <w:rPr>
          <w:rFonts w:hint="eastAsia" w:ascii="宋体" w:hAnsi="宋体"/>
          <w:color w:val="auto"/>
          <w:sz w:val="22"/>
          <w:szCs w:val="22"/>
          <w:highlight w:val="none"/>
          <w:lang w:eastAsia="zh-CN"/>
        </w:rPr>
        <w:t>（</w:t>
      </w:r>
      <w:r>
        <w:rPr>
          <w:rFonts w:hint="eastAsia" w:ascii="宋体" w:hAnsi="宋体"/>
          <w:color w:val="auto"/>
          <w:sz w:val="22"/>
          <w:szCs w:val="22"/>
          <w:highlight w:val="none"/>
        </w:rPr>
        <w:t>即交即走</w:t>
      </w:r>
      <w:r>
        <w:rPr>
          <w:rFonts w:hint="eastAsia" w:ascii="宋体" w:hAnsi="宋体"/>
          <w:color w:val="auto"/>
          <w:sz w:val="22"/>
          <w:szCs w:val="22"/>
          <w:highlight w:val="none"/>
          <w:lang w:eastAsia="zh-CN"/>
        </w:rPr>
        <w:t>）方式</w:t>
      </w:r>
      <w:r>
        <w:rPr>
          <w:rFonts w:hint="eastAsia" w:ascii="宋体" w:hAnsi="宋体"/>
          <w:color w:val="auto"/>
          <w:sz w:val="22"/>
          <w:szCs w:val="22"/>
          <w:highlight w:val="none"/>
        </w:rPr>
        <w:t>，不参加后续开标会</w:t>
      </w:r>
      <w:r>
        <w:rPr>
          <w:rFonts w:hint="eastAsia" w:ascii="宋体" w:hAnsi="宋体" w:cs="Times New Roman"/>
          <w:color w:val="auto"/>
          <w:sz w:val="22"/>
          <w:szCs w:val="22"/>
          <w:highlight w:val="none"/>
        </w:rPr>
        <w:t>。</w:t>
      </w:r>
    </w:p>
    <w:p w14:paraId="687D20AD">
      <w:pPr>
        <w:keepNext w:val="0"/>
        <w:keepLines w:val="0"/>
        <w:pageBreakBefore w:val="0"/>
        <w:widowControl w:val="0"/>
        <w:kinsoku/>
        <w:wordWrap/>
        <w:overflowPunct/>
        <w:topLinePunct w:val="0"/>
        <w:autoSpaceDE/>
        <w:autoSpaceDN/>
        <w:bidi w:val="0"/>
        <w:adjustRightInd/>
        <w:snapToGrid w:val="0"/>
        <w:spacing w:line="312" w:lineRule="auto"/>
        <w:ind w:firstLine="440" w:firstLineChars="200"/>
        <w:textAlignment w:val="auto"/>
        <w:rPr>
          <w:rFonts w:ascii="宋体" w:hAnsi="宋体" w:cs="Times New Roman"/>
          <w:color w:val="auto"/>
          <w:sz w:val="22"/>
          <w:szCs w:val="22"/>
          <w:highlight w:val="none"/>
        </w:rPr>
      </w:pPr>
      <w:r>
        <w:rPr>
          <w:rFonts w:hint="eastAsia" w:ascii="宋体" w:hAnsi="宋体" w:cs="Times New Roman"/>
          <w:color w:val="auto"/>
          <w:sz w:val="22"/>
          <w:szCs w:val="22"/>
          <w:highlight w:val="none"/>
        </w:rPr>
        <w:t>2</w:t>
      </w:r>
      <w:r>
        <w:rPr>
          <w:rFonts w:hint="eastAsia" w:ascii="宋体" w:hAnsi="宋体" w:cs="Times New Roman"/>
          <w:color w:val="auto"/>
          <w:sz w:val="22"/>
          <w:szCs w:val="22"/>
          <w:highlight w:val="none"/>
          <w:lang w:val="en-US" w:eastAsia="zh-CN"/>
        </w:rPr>
        <w:t>.</w:t>
      </w:r>
      <w:r>
        <w:rPr>
          <w:rFonts w:hint="eastAsia" w:ascii="宋体" w:hAnsi="宋体" w:cs="Times New Roman"/>
          <w:color w:val="auto"/>
          <w:sz w:val="22"/>
          <w:szCs w:val="22"/>
          <w:highlight w:val="none"/>
          <w:lang w:eastAsia="zh-CN"/>
        </w:rPr>
        <w:t>开</w:t>
      </w:r>
      <w:r>
        <w:rPr>
          <w:rFonts w:hint="eastAsia" w:ascii="宋体" w:hAnsi="宋体"/>
          <w:color w:val="auto"/>
          <w:kern w:val="0"/>
          <w:sz w:val="22"/>
          <w:szCs w:val="22"/>
          <w:highlight w:val="none"/>
        </w:rPr>
        <w:t>标会议在</w:t>
      </w:r>
      <w:r>
        <w:rPr>
          <w:rFonts w:hint="eastAsia" w:ascii="宋体" w:hAnsi="宋体" w:cs="Times New Roman"/>
          <w:color w:val="auto"/>
          <w:sz w:val="22"/>
          <w:szCs w:val="22"/>
          <w:highlight w:val="none"/>
        </w:rPr>
        <w:t>有关部门</w:t>
      </w:r>
      <w:r>
        <w:rPr>
          <w:rFonts w:hint="eastAsia" w:ascii="宋体" w:hAnsi="宋体"/>
          <w:color w:val="auto"/>
          <w:kern w:val="0"/>
          <w:sz w:val="22"/>
          <w:szCs w:val="22"/>
          <w:highlight w:val="none"/>
        </w:rPr>
        <w:t>监督下，由招标人组织并主持，并邀请与</w:t>
      </w:r>
      <w:r>
        <w:rPr>
          <w:rFonts w:hint="eastAsia" w:ascii="宋体" w:hAnsi="宋体"/>
          <w:color w:val="auto"/>
          <w:kern w:val="0"/>
          <w:sz w:val="22"/>
          <w:szCs w:val="22"/>
          <w:highlight w:val="none"/>
          <w:lang w:eastAsia="zh-CN"/>
        </w:rPr>
        <w:t>开</w:t>
      </w:r>
      <w:r>
        <w:rPr>
          <w:rFonts w:hint="eastAsia" w:ascii="宋体" w:hAnsi="宋体"/>
          <w:color w:val="auto"/>
          <w:kern w:val="0"/>
          <w:sz w:val="22"/>
          <w:szCs w:val="22"/>
          <w:highlight w:val="none"/>
        </w:rPr>
        <w:t>标会议有关的人员等参加</w:t>
      </w:r>
      <w:r>
        <w:rPr>
          <w:rFonts w:hint="eastAsia" w:ascii="宋体" w:hAnsi="宋体" w:cs="Times New Roman"/>
          <w:color w:val="auto"/>
          <w:sz w:val="22"/>
          <w:szCs w:val="22"/>
          <w:highlight w:val="none"/>
        </w:rPr>
        <w:t>。</w:t>
      </w:r>
    </w:p>
    <w:p w14:paraId="561F4C25">
      <w:pPr>
        <w:keepNext w:val="0"/>
        <w:keepLines w:val="0"/>
        <w:pageBreakBefore w:val="0"/>
        <w:widowControl w:val="0"/>
        <w:kinsoku/>
        <w:wordWrap/>
        <w:overflowPunct/>
        <w:topLinePunct w:val="0"/>
        <w:autoSpaceDE/>
        <w:autoSpaceDN/>
        <w:bidi w:val="0"/>
        <w:adjustRightInd/>
        <w:snapToGrid w:val="0"/>
        <w:spacing w:line="312" w:lineRule="auto"/>
        <w:ind w:firstLine="440" w:firstLineChars="200"/>
        <w:textAlignment w:val="auto"/>
        <w:rPr>
          <w:rFonts w:ascii="宋体" w:hAnsi="宋体" w:cs="Times New Roman"/>
          <w:color w:val="auto"/>
          <w:sz w:val="22"/>
          <w:szCs w:val="22"/>
          <w:highlight w:val="none"/>
        </w:rPr>
      </w:pPr>
      <w:r>
        <w:rPr>
          <w:rFonts w:hint="eastAsia" w:ascii="宋体" w:hAnsi="宋体" w:cs="Times New Roman"/>
          <w:color w:val="auto"/>
          <w:sz w:val="22"/>
          <w:szCs w:val="22"/>
          <w:highlight w:val="none"/>
        </w:rPr>
        <w:t>3</w:t>
      </w:r>
      <w:r>
        <w:rPr>
          <w:rFonts w:hint="eastAsia" w:ascii="宋体" w:hAnsi="宋体" w:cs="Times New Roman"/>
          <w:color w:val="auto"/>
          <w:sz w:val="22"/>
          <w:szCs w:val="22"/>
          <w:highlight w:val="none"/>
          <w:lang w:val="en-US" w:eastAsia="zh-CN"/>
        </w:rPr>
        <w:t>.</w:t>
      </w:r>
      <w:r>
        <w:rPr>
          <w:rFonts w:hint="eastAsia" w:ascii="宋体" w:hAnsi="宋体"/>
          <w:color w:val="auto"/>
          <w:sz w:val="22"/>
          <w:szCs w:val="22"/>
          <w:highlight w:val="none"/>
        </w:rPr>
        <w:t>根据前附表的递交方式，</w:t>
      </w:r>
      <w:r>
        <w:rPr>
          <w:rFonts w:hint="eastAsia" w:ascii="宋体" w:hAnsi="宋体"/>
          <w:color w:val="auto"/>
          <w:kern w:val="0"/>
          <w:sz w:val="22"/>
          <w:szCs w:val="22"/>
          <w:highlight w:val="none"/>
        </w:rPr>
        <w:t>在规定的时间内未收到投标文件的视作自动放弃投标</w:t>
      </w:r>
      <w:r>
        <w:rPr>
          <w:rFonts w:hint="eastAsia" w:ascii="宋体" w:hAnsi="宋体" w:cs="Times New Roman"/>
          <w:color w:val="auto"/>
          <w:sz w:val="22"/>
          <w:szCs w:val="22"/>
          <w:highlight w:val="none"/>
        </w:rPr>
        <w:t>。</w:t>
      </w:r>
    </w:p>
    <w:p w14:paraId="4585B57A">
      <w:pPr>
        <w:keepNext w:val="0"/>
        <w:keepLines w:val="0"/>
        <w:pageBreakBefore w:val="0"/>
        <w:widowControl w:val="0"/>
        <w:kinsoku/>
        <w:wordWrap/>
        <w:overflowPunct/>
        <w:topLinePunct w:val="0"/>
        <w:autoSpaceDE/>
        <w:autoSpaceDN/>
        <w:bidi w:val="0"/>
        <w:adjustRightInd/>
        <w:snapToGrid w:val="0"/>
        <w:spacing w:line="312" w:lineRule="auto"/>
        <w:ind w:firstLine="440" w:firstLineChars="200"/>
        <w:textAlignment w:val="auto"/>
        <w:rPr>
          <w:rFonts w:ascii="宋体" w:hAnsi="宋体" w:cs="Times New Roman"/>
          <w:color w:val="auto"/>
          <w:sz w:val="22"/>
          <w:szCs w:val="22"/>
          <w:highlight w:val="none"/>
        </w:rPr>
      </w:pPr>
      <w:r>
        <w:rPr>
          <w:rFonts w:hint="eastAsia" w:ascii="宋体" w:hAnsi="宋体" w:cs="Times New Roman"/>
          <w:color w:val="auto"/>
          <w:sz w:val="22"/>
          <w:szCs w:val="22"/>
          <w:highlight w:val="none"/>
        </w:rPr>
        <w:t>4</w:t>
      </w:r>
      <w:r>
        <w:rPr>
          <w:rFonts w:hint="eastAsia" w:ascii="宋体" w:hAnsi="宋体" w:cs="Times New Roman"/>
          <w:color w:val="auto"/>
          <w:sz w:val="22"/>
          <w:szCs w:val="22"/>
          <w:highlight w:val="none"/>
          <w:lang w:val="en-US" w:eastAsia="zh-CN"/>
        </w:rPr>
        <w:t>.</w:t>
      </w:r>
      <w:r>
        <w:rPr>
          <w:rFonts w:hint="eastAsia" w:ascii="宋体" w:hAnsi="宋体"/>
          <w:color w:val="auto"/>
          <w:sz w:val="22"/>
          <w:szCs w:val="22"/>
          <w:highlight w:val="none"/>
        </w:rPr>
        <w:t>开标现场全程视频录像</w:t>
      </w:r>
      <w:r>
        <w:rPr>
          <w:rFonts w:hint="eastAsia" w:ascii="宋体" w:hAnsi="宋体" w:cs="Times New Roman"/>
          <w:color w:val="auto"/>
          <w:sz w:val="22"/>
          <w:szCs w:val="22"/>
          <w:highlight w:val="none"/>
        </w:rPr>
        <w:t>。</w:t>
      </w:r>
    </w:p>
    <w:p w14:paraId="3CB33312">
      <w:pPr>
        <w:keepNext w:val="0"/>
        <w:keepLines w:val="0"/>
        <w:pageBreakBefore w:val="0"/>
        <w:widowControl w:val="0"/>
        <w:kinsoku/>
        <w:wordWrap/>
        <w:overflowPunct/>
        <w:topLinePunct w:val="0"/>
        <w:autoSpaceDE/>
        <w:autoSpaceDN/>
        <w:bidi w:val="0"/>
        <w:adjustRightInd/>
        <w:snapToGrid w:val="0"/>
        <w:spacing w:line="312" w:lineRule="auto"/>
        <w:ind w:firstLine="440" w:firstLineChars="200"/>
        <w:textAlignment w:val="auto"/>
        <w:rPr>
          <w:rFonts w:ascii="宋体" w:hAnsi="宋体" w:cs="Times New Roman"/>
          <w:color w:val="auto"/>
          <w:sz w:val="22"/>
          <w:szCs w:val="22"/>
          <w:highlight w:val="none"/>
        </w:rPr>
      </w:pPr>
      <w:r>
        <w:rPr>
          <w:rFonts w:hint="eastAsia" w:ascii="宋体" w:hAnsi="宋体" w:cs="Times New Roman"/>
          <w:color w:val="auto"/>
          <w:sz w:val="22"/>
          <w:szCs w:val="22"/>
          <w:highlight w:val="none"/>
        </w:rPr>
        <w:t>5</w:t>
      </w:r>
      <w:r>
        <w:rPr>
          <w:rFonts w:hint="eastAsia" w:ascii="宋体" w:hAnsi="宋体" w:cs="Times New Roman"/>
          <w:color w:val="auto"/>
          <w:sz w:val="22"/>
          <w:szCs w:val="22"/>
          <w:highlight w:val="none"/>
          <w:lang w:val="en-US" w:eastAsia="zh-CN"/>
        </w:rPr>
        <w:t>.</w:t>
      </w:r>
      <w:r>
        <w:rPr>
          <w:rFonts w:hint="eastAsia" w:ascii="宋体" w:hAnsi="宋体"/>
          <w:color w:val="auto"/>
          <w:sz w:val="22"/>
          <w:szCs w:val="22"/>
          <w:highlight w:val="none"/>
        </w:rPr>
        <w:t>开标过程中要求投标人进行澄清、说明或补正的，须通过指定的电子邮箱</w:t>
      </w:r>
      <w:r>
        <w:rPr>
          <w:rFonts w:hint="eastAsia" w:ascii="宋体" w:hAnsi="宋体"/>
          <w:color w:val="auto"/>
          <w:sz w:val="22"/>
          <w:szCs w:val="22"/>
          <w:highlight w:val="none"/>
          <w:lang w:eastAsia="zh-CN"/>
        </w:rPr>
        <w:t>3937356533</w:t>
      </w:r>
      <w:r>
        <w:rPr>
          <w:rFonts w:hint="eastAsia" w:ascii="宋体" w:hAnsi="宋体"/>
          <w:color w:val="auto"/>
          <w:sz w:val="22"/>
          <w:szCs w:val="22"/>
          <w:highlight w:val="none"/>
        </w:rPr>
        <w:t xml:space="preserve"> @qq.com做出澄清、说明或者补正，提交澄清、说明或补正的时间为接到工作人员电话通知后半小时内。请投标单位投标期间电话保持畅通，如未及时接听电话，视为放弃澄清、说明或补正的权利。</w:t>
      </w:r>
    </w:p>
    <w:p w14:paraId="733A6CE3">
      <w:pPr>
        <w:keepNext w:val="0"/>
        <w:keepLines w:val="0"/>
        <w:pageBreakBefore w:val="0"/>
        <w:widowControl w:val="0"/>
        <w:kinsoku/>
        <w:wordWrap/>
        <w:overflowPunct/>
        <w:topLinePunct w:val="0"/>
        <w:autoSpaceDE/>
        <w:autoSpaceDN/>
        <w:bidi w:val="0"/>
        <w:adjustRightInd/>
        <w:snapToGrid w:val="0"/>
        <w:spacing w:line="312" w:lineRule="auto"/>
        <w:ind w:firstLine="442" w:firstLineChars="200"/>
        <w:textAlignment w:val="auto"/>
        <w:outlineLvl w:val="0"/>
        <w:rPr>
          <w:rFonts w:ascii="宋体" w:hAnsi="宋体" w:cs="Times New Roman"/>
          <w:b/>
          <w:color w:val="auto"/>
          <w:sz w:val="22"/>
          <w:szCs w:val="22"/>
          <w:highlight w:val="none"/>
        </w:rPr>
      </w:pPr>
      <w:bookmarkStart w:id="33" w:name="_Toc7717"/>
      <w:bookmarkStart w:id="34" w:name="_Toc28858"/>
      <w:bookmarkStart w:id="35" w:name="_Toc13491"/>
      <w:bookmarkStart w:id="36" w:name="_Toc27784"/>
      <w:bookmarkStart w:id="37" w:name="_Toc16438"/>
      <w:bookmarkStart w:id="38" w:name="_Toc16427"/>
      <w:bookmarkStart w:id="39" w:name="_Toc22835"/>
      <w:r>
        <w:rPr>
          <w:rFonts w:hint="eastAsia" w:ascii="宋体" w:hAnsi="宋体" w:cs="Times New Roman"/>
          <w:b/>
          <w:color w:val="auto"/>
          <w:sz w:val="22"/>
          <w:szCs w:val="22"/>
          <w:highlight w:val="none"/>
          <w:lang w:eastAsia="zh-CN"/>
        </w:rPr>
        <w:t>（</w:t>
      </w:r>
      <w:r>
        <w:rPr>
          <w:rFonts w:hint="eastAsia" w:ascii="宋体" w:hAnsi="宋体" w:cs="Times New Roman"/>
          <w:b/>
          <w:color w:val="auto"/>
          <w:sz w:val="22"/>
          <w:szCs w:val="22"/>
          <w:highlight w:val="none"/>
        </w:rPr>
        <w:t>三</w:t>
      </w:r>
      <w:r>
        <w:rPr>
          <w:rFonts w:hint="eastAsia" w:ascii="宋体" w:hAnsi="宋体" w:cs="Times New Roman"/>
          <w:b/>
          <w:color w:val="auto"/>
          <w:sz w:val="22"/>
          <w:szCs w:val="22"/>
          <w:highlight w:val="none"/>
          <w:lang w:eastAsia="zh-CN"/>
        </w:rPr>
        <w:t>）</w:t>
      </w:r>
      <w:r>
        <w:rPr>
          <w:rFonts w:hint="eastAsia" w:ascii="宋体" w:hAnsi="宋体" w:cs="Times New Roman"/>
          <w:b/>
          <w:color w:val="auto"/>
          <w:sz w:val="22"/>
          <w:szCs w:val="22"/>
          <w:highlight w:val="none"/>
        </w:rPr>
        <w:t>投标人有下列情形之一的，其投标行为</w:t>
      </w:r>
      <w:r>
        <w:rPr>
          <w:rFonts w:hint="eastAsia" w:ascii="宋体" w:hAnsi="宋体" w:cs="Times New Roman"/>
          <w:b/>
          <w:color w:val="auto"/>
          <w:sz w:val="22"/>
          <w:szCs w:val="22"/>
          <w:highlight w:val="none"/>
          <w:lang w:eastAsia="zh-CN"/>
        </w:rPr>
        <w:t>将视为</w:t>
      </w:r>
      <w:r>
        <w:rPr>
          <w:rFonts w:hint="eastAsia" w:ascii="宋体" w:hAnsi="宋体" w:cs="Times New Roman"/>
          <w:b/>
          <w:color w:val="auto"/>
          <w:sz w:val="22"/>
          <w:szCs w:val="22"/>
          <w:highlight w:val="none"/>
        </w:rPr>
        <w:t>无效：</w:t>
      </w:r>
      <w:bookmarkEnd w:id="33"/>
      <w:bookmarkEnd w:id="34"/>
      <w:bookmarkEnd w:id="35"/>
      <w:bookmarkEnd w:id="36"/>
      <w:bookmarkEnd w:id="37"/>
      <w:bookmarkEnd w:id="38"/>
      <w:bookmarkEnd w:id="39"/>
    </w:p>
    <w:p w14:paraId="11C0B228">
      <w:pPr>
        <w:keepNext w:val="0"/>
        <w:keepLines w:val="0"/>
        <w:pageBreakBefore w:val="0"/>
        <w:widowControl w:val="0"/>
        <w:kinsoku/>
        <w:wordWrap/>
        <w:overflowPunct/>
        <w:topLinePunct w:val="0"/>
        <w:autoSpaceDE/>
        <w:autoSpaceDN/>
        <w:bidi w:val="0"/>
        <w:adjustRightInd/>
        <w:snapToGrid w:val="0"/>
        <w:spacing w:line="312" w:lineRule="auto"/>
        <w:ind w:firstLine="440" w:firstLineChars="200"/>
        <w:textAlignment w:val="auto"/>
        <w:rPr>
          <w:rFonts w:hint="eastAsia" w:ascii="宋体" w:hAnsi="宋体"/>
          <w:color w:val="auto"/>
          <w:sz w:val="22"/>
          <w:szCs w:val="22"/>
          <w:highlight w:val="none"/>
        </w:rPr>
      </w:pPr>
      <w:bookmarkStart w:id="40" w:name="_Toc16582"/>
      <w:bookmarkStart w:id="41" w:name="_Toc27629"/>
      <w:bookmarkStart w:id="42" w:name="_Toc12900"/>
      <w:bookmarkStart w:id="43" w:name="_Toc13168"/>
      <w:bookmarkStart w:id="44" w:name="_Toc8175"/>
      <w:bookmarkStart w:id="45" w:name="_Toc27909"/>
      <w:bookmarkStart w:id="46" w:name="_Toc26594"/>
      <w:r>
        <w:rPr>
          <w:rFonts w:hint="eastAsia" w:ascii="宋体" w:hAnsi="宋体"/>
          <w:color w:val="auto"/>
          <w:sz w:val="22"/>
          <w:szCs w:val="22"/>
          <w:highlight w:val="none"/>
        </w:rPr>
        <w:t>1</w:t>
      </w:r>
      <w:r>
        <w:rPr>
          <w:rFonts w:hint="eastAsia" w:ascii="宋体" w:hAnsi="宋体"/>
          <w:color w:val="auto"/>
          <w:sz w:val="22"/>
          <w:szCs w:val="22"/>
          <w:highlight w:val="none"/>
          <w:lang w:val="en-US" w:eastAsia="zh-CN"/>
        </w:rPr>
        <w:t>.</w:t>
      </w:r>
      <w:r>
        <w:rPr>
          <w:rFonts w:hint="eastAsia" w:ascii="宋体" w:hAnsi="宋体"/>
          <w:color w:val="auto"/>
          <w:sz w:val="22"/>
          <w:szCs w:val="22"/>
          <w:highlight w:val="none"/>
        </w:rPr>
        <w:t>未按规定在投标截止时间前向招标人递交投标文件的；</w:t>
      </w:r>
    </w:p>
    <w:p w14:paraId="3AF55B1E">
      <w:pPr>
        <w:keepNext w:val="0"/>
        <w:keepLines w:val="0"/>
        <w:pageBreakBefore w:val="0"/>
        <w:widowControl w:val="0"/>
        <w:kinsoku/>
        <w:wordWrap/>
        <w:overflowPunct/>
        <w:topLinePunct w:val="0"/>
        <w:autoSpaceDE/>
        <w:autoSpaceDN/>
        <w:bidi w:val="0"/>
        <w:adjustRightInd/>
        <w:snapToGrid w:val="0"/>
        <w:spacing w:line="312" w:lineRule="auto"/>
        <w:ind w:firstLine="440" w:firstLineChars="200"/>
        <w:textAlignment w:val="auto"/>
        <w:rPr>
          <w:rFonts w:hint="eastAsia" w:ascii="宋体" w:hAnsi="宋体"/>
          <w:color w:val="auto"/>
          <w:sz w:val="22"/>
          <w:szCs w:val="22"/>
          <w:highlight w:val="none"/>
        </w:rPr>
      </w:pPr>
      <w:r>
        <w:rPr>
          <w:rFonts w:hint="eastAsia" w:ascii="宋体" w:hAnsi="宋体"/>
          <w:color w:val="auto"/>
          <w:sz w:val="22"/>
          <w:szCs w:val="22"/>
          <w:highlight w:val="none"/>
          <w:lang w:val="en-US" w:eastAsia="zh-CN"/>
        </w:rPr>
        <w:t>2.</w:t>
      </w:r>
      <w:r>
        <w:rPr>
          <w:rFonts w:hint="eastAsia" w:ascii="宋体" w:hAnsi="宋体"/>
          <w:color w:val="auto"/>
          <w:sz w:val="22"/>
          <w:szCs w:val="22"/>
          <w:highlight w:val="none"/>
        </w:rPr>
        <w:t>投标文件未按要求密封的；</w:t>
      </w:r>
    </w:p>
    <w:p w14:paraId="29BE213E">
      <w:pPr>
        <w:keepNext w:val="0"/>
        <w:keepLines w:val="0"/>
        <w:pageBreakBefore w:val="0"/>
        <w:widowControl w:val="0"/>
        <w:kinsoku/>
        <w:wordWrap/>
        <w:overflowPunct/>
        <w:topLinePunct w:val="0"/>
        <w:autoSpaceDE/>
        <w:autoSpaceDN/>
        <w:bidi w:val="0"/>
        <w:adjustRightInd/>
        <w:snapToGrid w:val="0"/>
        <w:spacing w:line="312" w:lineRule="auto"/>
        <w:ind w:firstLine="440" w:firstLineChars="200"/>
        <w:textAlignment w:val="auto"/>
        <w:rPr>
          <w:rFonts w:hint="eastAsia" w:ascii="宋体" w:hAnsi="宋体"/>
          <w:color w:val="auto"/>
          <w:sz w:val="22"/>
          <w:szCs w:val="22"/>
          <w:highlight w:val="none"/>
        </w:rPr>
      </w:pPr>
      <w:r>
        <w:rPr>
          <w:rFonts w:hint="eastAsia" w:ascii="宋体" w:hAnsi="宋体"/>
          <w:color w:val="auto"/>
          <w:sz w:val="22"/>
          <w:szCs w:val="22"/>
          <w:highlight w:val="none"/>
          <w:lang w:val="en-US" w:eastAsia="zh-CN"/>
        </w:rPr>
        <w:t>3.</w:t>
      </w:r>
      <w:r>
        <w:rPr>
          <w:rFonts w:hint="eastAsia" w:ascii="宋体" w:hAnsi="宋体"/>
          <w:color w:val="auto"/>
          <w:sz w:val="22"/>
          <w:szCs w:val="22"/>
          <w:highlight w:val="none"/>
        </w:rPr>
        <w:t>投标人不符合招标文件载明的资格条件要求的；</w:t>
      </w:r>
    </w:p>
    <w:p w14:paraId="4F7AA9D8">
      <w:pPr>
        <w:keepNext w:val="0"/>
        <w:keepLines w:val="0"/>
        <w:pageBreakBefore w:val="0"/>
        <w:widowControl w:val="0"/>
        <w:kinsoku/>
        <w:wordWrap/>
        <w:overflowPunct/>
        <w:topLinePunct w:val="0"/>
        <w:autoSpaceDE/>
        <w:autoSpaceDN/>
        <w:bidi w:val="0"/>
        <w:adjustRightInd/>
        <w:snapToGrid w:val="0"/>
        <w:spacing w:line="312" w:lineRule="auto"/>
        <w:ind w:firstLine="440" w:firstLineChars="200"/>
        <w:textAlignment w:val="auto"/>
        <w:rPr>
          <w:rFonts w:hint="eastAsia" w:ascii="宋体" w:hAnsi="宋体"/>
          <w:color w:val="auto"/>
          <w:sz w:val="22"/>
          <w:szCs w:val="22"/>
          <w:highlight w:val="none"/>
        </w:rPr>
      </w:pPr>
      <w:r>
        <w:rPr>
          <w:rFonts w:hint="eastAsia" w:ascii="宋体" w:hAnsi="宋体"/>
          <w:color w:val="auto"/>
          <w:sz w:val="22"/>
          <w:szCs w:val="22"/>
          <w:highlight w:val="none"/>
          <w:lang w:val="en-US" w:eastAsia="zh-CN"/>
        </w:rPr>
        <w:t>4.</w:t>
      </w:r>
      <w:r>
        <w:rPr>
          <w:rFonts w:hint="eastAsia" w:ascii="宋体" w:hAnsi="宋体"/>
          <w:color w:val="auto"/>
          <w:sz w:val="22"/>
          <w:szCs w:val="22"/>
          <w:highlight w:val="none"/>
        </w:rPr>
        <w:t>投标文件不符合招标文件载明的要求的；</w:t>
      </w:r>
    </w:p>
    <w:p w14:paraId="7050DA2B">
      <w:pPr>
        <w:keepNext w:val="0"/>
        <w:keepLines w:val="0"/>
        <w:pageBreakBefore w:val="0"/>
        <w:widowControl w:val="0"/>
        <w:kinsoku/>
        <w:wordWrap/>
        <w:overflowPunct/>
        <w:topLinePunct w:val="0"/>
        <w:autoSpaceDE/>
        <w:autoSpaceDN/>
        <w:bidi w:val="0"/>
        <w:adjustRightInd/>
        <w:snapToGrid w:val="0"/>
        <w:spacing w:line="312" w:lineRule="auto"/>
        <w:ind w:firstLine="440" w:firstLineChars="200"/>
        <w:textAlignment w:val="auto"/>
        <w:rPr>
          <w:rFonts w:hint="eastAsia" w:ascii="宋体" w:hAnsi="宋体"/>
          <w:color w:val="auto"/>
          <w:sz w:val="22"/>
          <w:szCs w:val="22"/>
          <w:highlight w:val="none"/>
        </w:rPr>
      </w:pPr>
      <w:r>
        <w:rPr>
          <w:rFonts w:hint="eastAsia" w:ascii="宋体" w:hAnsi="宋体"/>
          <w:color w:val="auto"/>
          <w:sz w:val="22"/>
          <w:szCs w:val="22"/>
          <w:highlight w:val="none"/>
          <w:lang w:val="en-US" w:eastAsia="zh-CN"/>
        </w:rPr>
        <w:t>5.</w:t>
      </w:r>
      <w:r>
        <w:rPr>
          <w:rFonts w:hint="eastAsia" w:ascii="宋体" w:hAnsi="宋体"/>
          <w:color w:val="auto"/>
          <w:sz w:val="22"/>
          <w:szCs w:val="22"/>
          <w:highlight w:val="none"/>
        </w:rPr>
        <w:t>投标人的投标报价不在招标文件载明的有效报价范围内的；</w:t>
      </w:r>
    </w:p>
    <w:p w14:paraId="65343D65">
      <w:pPr>
        <w:keepNext w:val="0"/>
        <w:keepLines w:val="0"/>
        <w:pageBreakBefore w:val="0"/>
        <w:widowControl w:val="0"/>
        <w:kinsoku/>
        <w:wordWrap/>
        <w:overflowPunct/>
        <w:topLinePunct w:val="0"/>
        <w:autoSpaceDE/>
        <w:autoSpaceDN/>
        <w:bidi w:val="0"/>
        <w:adjustRightInd/>
        <w:snapToGrid w:val="0"/>
        <w:spacing w:line="312" w:lineRule="auto"/>
        <w:ind w:firstLine="440" w:firstLineChars="200"/>
        <w:textAlignment w:val="auto"/>
        <w:rPr>
          <w:rFonts w:hint="eastAsia" w:ascii="宋体" w:hAnsi="宋体"/>
          <w:color w:val="auto"/>
          <w:sz w:val="22"/>
          <w:szCs w:val="22"/>
          <w:highlight w:val="none"/>
        </w:rPr>
      </w:pPr>
      <w:r>
        <w:rPr>
          <w:rFonts w:hint="eastAsia" w:ascii="宋体" w:hAnsi="宋体"/>
          <w:color w:val="auto"/>
          <w:sz w:val="22"/>
          <w:szCs w:val="22"/>
          <w:highlight w:val="none"/>
          <w:lang w:val="en-US" w:eastAsia="zh-CN"/>
        </w:rPr>
        <w:t>6.</w:t>
      </w:r>
      <w:r>
        <w:rPr>
          <w:rFonts w:hint="eastAsia" w:ascii="宋体" w:hAnsi="宋体"/>
          <w:color w:val="auto"/>
          <w:sz w:val="22"/>
          <w:szCs w:val="22"/>
          <w:highlight w:val="none"/>
        </w:rPr>
        <w:t>不符合招标文件明确的实质性响应条件的。</w:t>
      </w:r>
    </w:p>
    <w:p w14:paraId="7C1DB5F4">
      <w:pPr>
        <w:keepNext w:val="0"/>
        <w:keepLines w:val="0"/>
        <w:pageBreakBefore w:val="0"/>
        <w:widowControl w:val="0"/>
        <w:kinsoku/>
        <w:wordWrap/>
        <w:overflowPunct/>
        <w:topLinePunct w:val="0"/>
        <w:autoSpaceDE/>
        <w:autoSpaceDN/>
        <w:bidi w:val="0"/>
        <w:adjustRightInd/>
        <w:snapToGrid w:val="0"/>
        <w:spacing w:line="312" w:lineRule="auto"/>
        <w:ind w:firstLine="442" w:firstLineChars="200"/>
        <w:textAlignment w:val="auto"/>
        <w:outlineLvl w:val="0"/>
        <w:rPr>
          <w:rFonts w:ascii="宋体" w:hAnsi="宋体" w:cs="Times New Roman"/>
          <w:b/>
          <w:color w:val="auto"/>
          <w:sz w:val="22"/>
          <w:szCs w:val="22"/>
          <w:highlight w:val="none"/>
        </w:rPr>
      </w:pPr>
      <w:r>
        <w:rPr>
          <w:rFonts w:hint="eastAsia" w:ascii="宋体" w:hAnsi="宋体" w:cs="Times New Roman"/>
          <w:b/>
          <w:color w:val="auto"/>
          <w:sz w:val="22"/>
          <w:szCs w:val="22"/>
          <w:highlight w:val="none"/>
          <w:lang w:eastAsia="zh-CN"/>
        </w:rPr>
        <w:t>（</w:t>
      </w:r>
      <w:r>
        <w:rPr>
          <w:rFonts w:hint="eastAsia" w:ascii="宋体" w:hAnsi="宋体" w:cs="Times New Roman"/>
          <w:b/>
          <w:color w:val="auto"/>
          <w:sz w:val="22"/>
          <w:szCs w:val="22"/>
          <w:highlight w:val="none"/>
        </w:rPr>
        <w:t>四</w:t>
      </w:r>
      <w:r>
        <w:rPr>
          <w:rFonts w:hint="eastAsia" w:ascii="宋体" w:hAnsi="宋体" w:cs="Times New Roman"/>
          <w:b/>
          <w:color w:val="auto"/>
          <w:sz w:val="22"/>
          <w:szCs w:val="22"/>
          <w:highlight w:val="none"/>
          <w:lang w:eastAsia="zh-CN"/>
        </w:rPr>
        <w:t>）</w:t>
      </w:r>
      <w:r>
        <w:rPr>
          <w:rFonts w:hint="eastAsia" w:ascii="宋体" w:hAnsi="宋体" w:cs="Times New Roman"/>
          <w:b/>
          <w:color w:val="auto"/>
          <w:sz w:val="22"/>
          <w:szCs w:val="22"/>
          <w:highlight w:val="none"/>
        </w:rPr>
        <w:t>投标书鉴定和公布</w:t>
      </w:r>
      <w:bookmarkEnd w:id="40"/>
      <w:bookmarkEnd w:id="41"/>
      <w:bookmarkEnd w:id="42"/>
      <w:bookmarkEnd w:id="43"/>
      <w:bookmarkEnd w:id="44"/>
      <w:bookmarkEnd w:id="45"/>
      <w:bookmarkEnd w:id="46"/>
    </w:p>
    <w:p w14:paraId="55E5DCDC">
      <w:pPr>
        <w:keepNext w:val="0"/>
        <w:keepLines w:val="0"/>
        <w:pageBreakBefore w:val="0"/>
        <w:widowControl w:val="0"/>
        <w:kinsoku/>
        <w:wordWrap/>
        <w:overflowPunct/>
        <w:topLinePunct w:val="0"/>
        <w:autoSpaceDE/>
        <w:autoSpaceDN/>
        <w:bidi w:val="0"/>
        <w:adjustRightInd/>
        <w:snapToGrid w:val="0"/>
        <w:spacing w:line="312" w:lineRule="auto"/>
        <w:ind w:firstLine="440" w:firstLineChars="200"/>
        <w:textAlignment w:val="auto"/>
        <w:rPr>
          <w:rFonts w:ascii="宋体" w:hAnsi="宋体" w:cs="Times New Roman"/>
          <w:color w:val="auto"/>
          <w:sz w:val="22"/>
          <w:szCs w:val="22"/>
          <w:highlight w:val="none"/>
        </w:rPr>
      </w:pPr>
      <w:r>
        <w:rPr>
          <w:rFonts w:hint="eastAsia" w:ascii="宋体" w:hAnsi="宋体" w:cs="Times New Roman"/>
          <w:color w:val="auto"/>
          <w:sz w:val="22"/>
          <w:szCs w:val="22"/>
          <w:highlight w:val="none"/>
        </w:rPr>
        <w:t>当众宣读核查结果，并宣读有效投标的投标人名称以及投标主要内容。</w:t>
      </w:r>
    </w:p>
    <w:p w14:paraId="69724C39">
      <w:pPr>
        <w:keepNext w:val="0"/>
        <w:keepLines w:val="0"/>
        <w:pageBreakBefore w:val="0"/>
        <w:widowControl w:val="0"/>
        <w:kinsoku/>
        <w:wordWrap/>
        <w:overflowPunct/>
        <w:topLinePunct w:val="0"/>
        <w:autoSpaceDE/>
        <w:autoSpaceDN/>
        <w:bidi w:val="0"/>
        <w:adjustRightInd/>
        <w:snapToGrid w:val="0"/>
        <w:spacing w:line="312" w:lineRule="auto"/>
        <w:ind w:firstLine="442" w:firstLineChars="200"/>
        <w:textAlignment w:val="auto"/>
        <w:outlineLvl w:val="0"/>
        <w:rPr>
          <w:rFonts w:ascii="宋体" w:hAnsi="宋体" w:cs="Times New Roman"/>
          <w:b/>
          <w:color w:val="auto"/>
          <w:sz w:val="22"/>
          <w:szCs w:val="22"/>
          <w:highlight w:val="none"/>
        </w:rPr>
      </w:pPr>
      <w:bookmarkStart w:id="47" w:name="_Toc3174"/>
      <w:bookmarkStart w:id="48" w:name="_Toc20767"/>
      <w:bookmarkStart w:id="49" w:name="_Toc13043"/>
      <w:bookmarkStart w:id="50" w:name="_Toc27804"/>
      <w:bookmarkStart w:id="51" w:name="_Toc24227"/>
      <w:bookmarkStart w:id="52" w:name="_Toc8020"/>
      <w:bookmarkStart w:id="53" w:name="_Toc26143"/>
      <w:r>
        <w:rPr>
          <w:rFonts w:hint="eastAsia" w:ascii="宋体" w:hAnsi="宋体" w:cs="Times New Roman"/>
          <w:b/>
          <w:color w:val="auto"/>
          <w:sz w:val="22"/>
          <w:szCs w:val="22"/>
          <w:highlight w:val="none"/>
          <w:lang w:eastAsia="zh-CN"/>
        </w:rPr>
        <w:t>（</w:t>
      </w:r>
      <w:r>
        <w:rPr>
          <w:rFonts w:hint="eastAsia" w:ascii="宋体" w:hAnsi="宋体" w:cs="Times New Roman"/>
          <w:b/>
          <w:color w:val="auto"/>
          <w:sz w:val="22"/>
          <w:szCs w:val="22"/>
          <w:highlight w:val="none"/>
        </w:rPr>
        <w:t>五</w:t>
      </w:r>
      <w:r>
        <w:rPr>
          <w:rFonts w:hint="eastAsia" w:ascii="宋体" w:hAnsi="宋体" w:cs="Times New Roman"/>
          <w:b/>
          <w:color w:val="auto"/>
          <w:sz w:val="22"/>
          <w:szCs w:val="22"/>
          <w:highlight w:val="none"/>
          <w:lang w:eastAsia="zh-CN"/>
        </w:rPr>
        <w:t>）</w:t>
      </w:r>
      <w:r>
        <w:rPr>
          <w:rFonts w:hint="eastAsia" w:ascii="宋体" w:hAnsi="宋体" w:cs="Times New Roman"/>
          <w:b/>
          <w:color w:val="auto"/>
          <w:sz w:val="22"/>
          <w:szCs w:val="22"/>
          <w:highlight w:val="none"/>
        </w:rPr>
        <w:t>唱标</w:t>
      </w:r>
      <w:bookmarkEnd w:id="47"/>
      <w:bookmarkEnd w:id="48"/>
      <w:bookmarkEnd w:id="49"/>
      <w:bookmarkEnd w:id="50"/>
      <w:bookmarkEnd w:id="51"/>
      <w:bookmarkEnd w:id="52"/>
      <w:bookmarkEnd w:id="53"/>
    </w:p>
    <w:p w14:paraId="4767B724">
      <w:pPr>
        <w:keepNext w:val="0"/>
        <w:keepLines w:val="0"/>
        <w:pageBreakBefore w:val="0"/>
        <w:widowControl w:val="0"/>
        <w:kinsoku/>
        <w:wordWrap/>
        <w:overflowPunct/>
        <w:topLinePunct w:val="0"/>
        <w:autoSpaceDE/>
        <w:autoSpaceDN/>
        <w:bidi w:val="0"/>
        <w:adjustRightInd/>
        <w:snapToGrid w:val="0"/>
        <w:spacing w:line="312" w:lineRule="auto"/>
        <w:ind w:firstLine="440" w:firstLineChars="200"/>
        <w:textAlignment w:val="auto"/>
        <w:rPr>
          <w:rFonts w:ascii="宋体" w:hAnsi="宋体" w:cs="Times New Roman"/>
          <w:color w:val="auto"/>
          <w:sz w:val="22"/>
          <w:szCs w:val="22"/>
          <w:highlight w:val="none"/>
        </w:rPr>
      </w:pPr>
      <w:r>
        <w:rPr>
          <w:rFonts w:hint="eastAsia" w:ascii="宋体" w:hAnsi="宋体" w:cs="Times New Roman"/>
          <w:color w:val="auto"/>
          <w:sz w:val="22"/>
          <w:szCs w:val="22"/>
          <w:highlight w:val="none"/>
        </w:rPr>
        <w:t>唱标内容将做好记录。</w:t>
      </w:r>
    </w:p>
    <w:p w14:paraId="210F529A">
      <w:pPr>
        <w:keepNext w:val="0"/>
        <w:keepLines w:val="0"/>
        <w:pageBreakBefore w:val="0"/>
        <w:widowControl w:val="0"/>
        <w:kinsoku/>
        <w:wordWrap/>
        <w:overflowPunct/>
        <w:topLinePunct w:val="0"/>
        <w:autoSpaceDE/>
        <w:autoSpaceDN/>
        <w:bidi w:val="0"/>
        <w:adjustRightInd/>
        <w:snapToGrid w:val="0"/>
        <w:spacing w:line="312" w:lineRule="auto"/>
        <w:ind w:firstLine="442" w:firstLineChars="200"/>
        <w:textAlignment w:val="auto"/>
        <w:outlineLvl w:val="0"/>
        <w:rPr>
          <w:rFonts w:ascii="宋体" w:hAnsi="宋体" w:cs="Times New Roman"/>
          <w:color w:val="auto"/>
          <w:sz w:val="22"/>
          <w:szCs w:val="22"/>
          <w:highlight w:val="none"/>
        </w:rPr>
      </w:pPr>
      <w:bookmarkStart w:id="54" w:name="_Toc12709"/>
      <w:bookmarkStart w:id="55" w:name="_Toc11264"/>
      <w:bookmarkStart w:id="56" w:name="_Toc25852"/>
      <w:bookmarkStart w:id="57" w:name="_Toc30216"/>
      <w:bookmarkStart w:id="58" w:name="_Toc25109"/>
      <w:bookmarkStart w:id="59" w:name="_Toc13291"/>
      <w:bookmarkStart w:id="60" w:name="_Toc1705"/>
      <w:r>
        <w:rPr>
          <w:rFonts w:hint="eastAsia" w:ascii="宋体" w:hAnsi="宋体" w:cs="Times New Roman"/>
          <w:b/>
          <w:color w:val="auto"/>
          <w:sz w:val="22"/>
          <w:szCs w:val="22"/>
          <w:highlight w:val="none"/>
          <w:lang w:eastAsia="zh-CN"/>
        </w:rPr>
        <w:t>（</w:t>
      </w:r>
      <w:r>
        <w:rPr>
          <w:rFonts w:hint="eastAsia" w:ascii="宋体" w:hAnsi="宋体" w:cs="Times New Roman"/>
          <w:b/>
          <w:color w:val="auto"/>
          <w:sz w:val="22"/>
          <w:szCs w:val="22"/>
          <w:highlight w:val="none"/>
        </w:rPr>
        <w:t>六</w:t>
      </w:r>
      <w:r>
        <w:rPr>
          <w:rFonts w:hint="eastAsia" w:ascii="宋体" w:hAnsi="宋体" w:cs="Times New Roman"/>
          <w:b/>
          <w:color w:val="auto"/>
          <w:sz w:val="22"/>
          <w:szCs w:val="22"/>
          <w:highlight w:val="none"/>
          <w:lang w:eastAsia="zh-CN"/>
        </w:rPr>
        <w:t>）</w:t>
      </w:r>
      <w:r>
        <w:rPr>
          <w:rFonts w:hint="eastAsia" w:ascii="宋体" w:hAnsi="宋体" w:cs="Times New Roman"/>
          <w:b/>
          <w:color w:val="auto"/>
          <w:sz w:val="22"/>
          <w:szCs w:val="22"/>
          <w:highlight w:val="none"/>
        </w:rPr>
        <w:t>招标记录</w:t>
      </w:r>
      <w:bookmarkEnd w:id="54"/>
      <w:bookmarkEnd w:id="55"/>
      <w:bookmarkEnd w:id="56"/>
      <w:bookmarkEnd w:id="57"/>
      <w:bookmarkEnd w:id="58"/>
      <w:bookmarkEnd w:id="59"/>
      <w:bookmarkEnd w:id="60"/>
    </w:p>
    <w:p w14:paraId="41BCB47D">
      <w:pPr>
        <w:keepNext w:val="0"/>
        <w:keepLines w:val="0"/>
        <w:pageBreakBefore w:val="0"/>
        <w:widowControl w:val="0"/>
        <w:kinsoku/>
        <w:wordWrap/>
        <w:overflowPunct/>
        <w:topLinePunct w:val="0"/>
        <w:autoSpaceDE/>
        <w:autoSpaceDN/>
        <w:bidi w:val="0"/>
        <w:adjustRightInd/>
        <w:snapToGrid w:val="0"/>
        <w:spacing w:line="312" w:lineRule="auto"/>
        <w:ind w:firstLine="440" w:firstLineChars="200"/>
        <w:textAlignment w:val="auto"/>
        <w:rPr>
          <w:color w:val="auto"/>
          <w:sz w:val="22"/>
          <w:szCs w:val="22"/>
          <w:highlight w:val="none"/>
        </w:rPr>
      </w:pPr>
      <w:r>
        <w:rPr>
          <w:rFonts w:hint="eastAsia" w:ascii="宋体" w:hAnsi="宋体" w:cs="Times New Roman"/>
          <w:color w:val="auto"/>
          <w:sz w:val="22"/>
          <w:szCs w:val="22"/>
          <w:highlight w:val="none"/>
          <w:lang w:eastAsia="zh-CN"/>
        </w:rPr>
        <w:t>开</w:t>
      </w:r>
      <w:r>
        <w:rPr>
          <w:rFonts w:hint="eastAsia" w:ascii="宋体" w:hAnsi="宋体" w:cs="Times New Roman"/>
          <w:color w:val="auto"/>
          <w:sz w:val="22"/>
          <w:szCs w:val="22"/>
          <w:highlight w:val="none"/>
        </w:rPr>
        <w:t>标会议全过程由招标人代表或其委托的代理机构代表记录，并存档备查。</w:t>
      </w:r>
      <w:bookmarkStart w:id="61" w:name="_Toc29389655"/>
    </w:p>
    <w:p w14:paraId="5FBBFB24">
      <w:pPr>
        <w:pStyle w:val="3"/>
        <w:keepLines w:val="0"/>
        <w:pageBreakBefore w:val="0"/>
        <w:wordWrap/>
        <w:overflowPunct/>
        <w:topLinePunct w:val="0"/>
        <w:bidi w:val="0"/>
        <w:snapToGrid w:val="0"/>
        <w:spacing w:before="0" w:after="0" w:line="312" w:lineRule="auto"/>
        <w:rPr>
          <w:color w:val="auto"/>
          <w:sz w:val="32"/>
          <w:szCs w:val="32"/>
          <w:highlight w:val="none"/>
        </w:rPr>
      </w:pPr>
      <w:bookmarkStart w:id="62" w:name="_Toc28516"/>
      <w:r>
        <w:rPr>
          <w:rFonts w:hint="eastAsia"/>
          <w:color w:val="auto"/>
          <w:sz w:val="32"/>
          <w:szCs w:val="32"/>
          <w:highlight w:val="none"/>
          <w:lang w:eastAsia="zh-CN"/>
        </w:rPr>
        <w:t>七</w:t>
      </w:r>
      <w:r>
        <w:rPr>
          <w:rFonts w:hint="eastAsia"/>
          <w:color w:val="auto"/>
          <w:sz w:val="32"/>
          <w:szCs w:val="32"/>
          <w:highlight w:val="none"/>
        </w:rPr>
        <w:t>、评  标</w:t>
      </w:r>
      <w:bookmarkEnd w:id="61"/>
      <w:bookmarkEnd w:id="62"/>
    </w:p>
    <w:p w14:paraId="43C2C207">
      <w:pPr>
        <w:keepNext w:val="0"/>
        <w:keepLines w:val="0"/>
        <w:pageBreakBefore w:val="0"/>
        <w:widowControl w:val="0"/>
        <w:kinsoku/>
        <w:wordWrap/>
        <w:overflowPunct/>
        <w:topLinePunct w:val="0"/>
        <w:bidi w:val="0"/>
        <w:snapToGrid w:val="0"/>
        <w:spacing w:line="312" w:lineRule="auto"/>
        <w:ind w:left="0" w:leftChars="0" w:firstLine="442" w:firstLineChars="200"/>
        <w:jc w:val="left"/>
        <w:textAlignment w:val="auto"/>
        <w:rPr>
          <w:rFonts w:hint="eastAsia" w:ascii="宋体" w:hAnsi="宋体" w:eastAsia="宋体" w:cs="宋体"/>
          <w:b/>
          <w:bCs/>
          <w:color w:val="auto"/>
          <w:sz w:val="22"/>
          <w:szCs w:val="22"/>
          <w:highlight w:val="none"/>
          <w:lang w:val="zh-CN" w:eastAsia="zh-CN"/>
        </w:rPr>
      </w:pPr>
      <w:r>
        <w:rPr>
          <w:rFonts w:hint="default" w:ascii="宋体" w:hAnsi="宋体" w:eastAsia="宋体" w:cs="宋体"/>
          <w:b/>
          <w:bCs/>
          <w:color w:val="auto"/>
          <w:sz w:val="22"/>
          <w:szCs w:val="22"/>
          <w:highlight w:val="none"/>
          <w:lang w:val="zh-CN"/>
        </w:rPr>
        <w:t>一、评标</w:t>
      </w:r>
      <w:r>
        <w:rPr>
          <w:rFonts w:hint="eastAsia" w:ascii="宋体" w:hAnsi="宋体" w:eastAsia="宋体" w:cs="宋体"/>
          <w:b/>
          <w:bCs/>
          <w:color w:val="auto"/>
          <w:sz w:val="22"/>
          <w:szCs w:val="22"/>
          <w:highlight w:val="none"/>
          <w:lang w:val="zh-CN" w:eastAsia="zh-CN"/>
        </w:rPr>
        <w:t>组织</w:t>
      </w:r>
    </w:p>
    <w:p w14:paraId="15B740C5">
      <w:pPr>
        <w:keepNext w:val="0"/>
        <w:keepLines w:val="0"/>
        <w:pageBreakBefore w:val="0"/>
        <w:widowControl w:val="0"/>
        <w:kinsoku/>
        <w:wordWrap/>
        <w:overflowPunct/>
        <w:topLinePunct w:val="0"/>
        <w:bidi w:val="0"/>
        <w:adjustRightInd w:val="0"/>
        <w:snapToGrid w:val="0"/>
        <w:spacing w:line="312" w:lineRule="auto"/>
        <w:ind w:left="0" w:lef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1</w:t>
      </w:r>
      <w:r>
        <w:rPr>
          <w:rFonts w:hint="eastAsia" w:ascii="宋体" w:hAnsi="宋体" w:cs="宋体"/>
          <w:color w:val="auto"/>
          <w:sz w:val="22"/>
          <w:szCs w:val="22"/>
          <w:highlight w:val="none"/>
          <w:lang w:val="en-US" w:eastAsia="zh-CN"/>
        </w:rPr>
        <w:t>.</w:t>
      </w:r>
      <w:r>
        <w:rPr>
          <w:rFonts w:hint="eastAsia" w:ascii="宋体" w:hAnsi="宋体" w:eastAsia="宋体" w:cs="宋体"/>
          <w:color w:val="auto"/>
          <w:sz w:val="22"/>
          <w:szCs w:val="22"/>
          <w:highlight w:val="none"/>
        </w:rPr>
        <w:t>评标由招标人依法组建的评标委员会负责。</w:t>
      </w:r>
    </w:p>
    <w:p w14:paraId="52A3E87F">
      <w:pPr>
        <w:keepNext w:val="0"/>
        <w:keepLines w:val="0"/>
        <w:pageBreakBefore w:val="0"/>
        <w:widowControl w:val="0"/>
        <w:kinsoku/>
        <w:wordWrap/>
        <w:overflowPunct/>
        <w:topLinePunct w:val="0"/>
        <w:bidi w:val="0"/>
        <w:adjustRightInd w:val="0"/>
        <w:snapToGrid w:val="0"/>
        <w:spacing w:line="312" w:lineRule="auto"/>
        <w:ind w:left="0" w:lef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2</w:t>
      </w:r>
      <w:r>
        <w:rPr>
          <w:rFonts w:hint="eastAsia" w:ascii="宋体" w:hAnsi="宋体" w:cs="宋体"/>
          <w:color w:val="auto"/>
          <w:sz w:val="22"/>
          <w:szCs w:val="22"/>
          <w:highlight w:val="none"/>
          <w:lang w:val="en-US" w:eastAsia="zh-CN"/>
        </w:rPr>
        <w:t>.</w:t>
      </w:r>
      <w:r>
        <w:rPr>
          <w:rFonts w:hint="eastAsia" w:ascii="宋体" w:hAnsi="宋体" w:eastAsia="宋体" w:cs="宋体"/>
          <w:color w:val="auto"/>
          <w:sz w:val="22"/>
          <w:szCs w:val="22"/>
          <w:highlight w:val="none"/>
        </w:rPr>
        <w:t>评标委员会应设负责人1名，由评标委员会成员推荐产生。评标委员会负责人与评标委员会的其他成员有同等的表决权。</w:t>
      </w:r>
    </w:p>
    <w:p w14:paraId="26FB363B">
      <w:pPr>
        <w:keepNext w:val="0"/>
        <w:keepLines w:val="0"/>
        <w:pageBreakBefore w:val="0"/>
        <w:widowControl w:val="0"/>
        <w:kinsoku/>
        <w:wordWrap/>
        <w:overflowPunct/>
        <w:topLinePunct w:val="0"/>
        <w:bidi w:val="0"/>
        <w:adjustRightInd w:val="0"/>
        <w:snapToGrid w:val="0"/>
        <w:spacing w:line="312" w:lineRule="auto"/>
        <w:ind w:left="0" w:lef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评标委员会成员有下列情形之一的，应当回避：</w:t>
      </w:r>
    </w:p>
    <w:p w14:paraId="6A015F9A">
      <w:pPr>
        <w:keepNext w:val="0"/>
        <w:keepLines w:val="0"/>
        <w:pageBreakBefore w:val="0"/>
        <w:widowControl w:val="0"/>
        <w:kinsoku/>
        <w:wordWrap/>
        <w:overflowPunct/>
        <w:topLinePunct w:val="0"/>
        <w:bidi w:val="0"/>
        <w:adjustRightInd w:val="0"/>
        <w:snapToGrid w:val="0"/>
        <w:spacing w:line="312" w:lineRule="auto"/>
        <w:ind w:left="0" w:lef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rPr>
        <w:t>招标人或投标人的主要负责人的近亲属；</w:t>
      </w:r>
    </w:p>
    <w:p w14:paraId="2AA938FC">
      <w:pPr>
        <w:keepNext w:val="0"/>
        <w:keepLines w:val="0"/>
        <w:pageBreakBefore w:val="0"/>
        <w:widowControl w:val="0"/>
        <w:kinsoku/>
        <w:wordWrap/>
        <w:overflowPunct/>
        <w:topLinePunct w:val="0"/>
        <w:bidi w:val="0"/>
        <w:adjustRightInd w:val="0"/>
        <w:snapToGrid w:val="0"/>
        <w:spacing w:line="312" w:lineRule="auto"/>
        <w:ind w:left="0" w:lef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项目主管部门或者行政监督部门的人员；</w:t>
      </w:r>
    </w:p>
    <w:p w14:paraId="303D01C9">
      <w:pPr>
        <w:keepNext w:val="0"/>
        <w:keepLines w:val="0"/>
        <w:pageBreakBefore w:val="0"/>
        <w:widowControl w:val="0"/>
        <w:kinsoku/>
        <w:wordWrap/>
        <w:overflowPunct/>
        <w:topLinePunct w:val="0"/>
        <w:bidi w:val="0"/>
        <w:adjustRightInd w:val="0"/>
        <w:snapToGrid w:val="0"/>
        <w:spacing w:line="312" w:lineRule="auto"/>
        <w:ind w:left="0" w:lef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与投标人有经济利益关系，可能影响对投标公正评审的；</w:t>
      </w:r>
    </w:p>
    <w:p w14:paraId="38A1C0AC">
      <w:pPr>
        <w:keepNext w:val="0"/>
        <w:keepLines w:val="0"/>
        <w:pageBreakBefore w:val="0"/>
        <w:widowControl w:val="0"/>
        <w:kinsoku/>
        <w:wordWrap/>
        <w:overflowPunct/>
        <w:topLinePunct w:val="0"/>
        <w:bidi w:val="0"/>
        <w:adjustRightInd w:val="0"/>
        <w:snapToGrid w:val="0"/>
        <w:spacing w:line="312" w:lineRule="auto"/>
        <w:ind w:left="0" w:lef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曾因在招标、评标以及其他与招标投标有关活动中从事违法行为而受过行政处罚或刑事处罚的。</w:t>
      </w:r>
    </w:p>
    <w:p w14:paraId="32618599">
      <w:pPr>
        <w:keepNext w:val="0"/>
        <w:keepLines w:val="0"/>
        <w:pageBreakBefore w:val="0"/>
        <w:widowControl w:val="0"/>
        <w:kinsoku/>
        <w:wordWrap/>
        <w:overflowPunct/>
        <w:topLinePunct w:val="0"/>
        <w:bidi w:val="0"/>
        <w:adjustRightInd w:val="0"/>
        <w:snapToGrid w:val="0"/>
        <w:spacing w:line="312" w:lineRule="auto"/>
        <w:ind w:left="0" w:leftChars="0" w:firstLine="440" w:firstLineChars="200"/>
        <w:textAlignment w:val="auto"/>
        <w:rPr>
          <w:rFonts w:hint="eastAsia" w:ascii="宋体" w:hAnsi="宋体" w:eastAsia="宋体" w:cs="宋体"/>
          <w:b/>
          <w:color w:val="auto"/>
          <w:sz w:val="22"/>
          <w:szCs w:val="22"/>
          <w:highlight w:val="none"/>
          <w:lang w:val="zh-CN"/>
        </w:rPr>
      </w:pP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其他应回避的情形。</w:t>
      </w:r>
    </w:p>
    <w:p w14:paraId="2C3D3499">
      <w:pPr>
        <w:keepNext w:val="0"/>
        <w:keepLines w:val="0"/>
        <w:pageBreakBefore w:val="0"/>
        <w:widowControl w:val="0"/>
        <w:kinsoku/>
        <w:wordWrap/>
        <w:overflowPunct/>
        <w:topLinePunct w:val="0"/>
        <w:bidi w:val="0"/>
        <w:snapToGrid w:val="0"/>
        <w:spacing w:line="312" w:lineRule="auto"/>
        <w:ind w:left="0" w:leftChars="0" w:firstLine="442" w:firstLineChars="200"/>
        <w:jc w:val="left"/>
        <w:textAlignment w:val="auto"/>
        <w:rPr>
          <w:rFonts w:hint="eastAsia" w:ascii="宋体" w:hAnsi="宋体" w:eastAsia="宋体" w:cs="宋体"/>
          <w:b/>
          <w:bCs/>
          <w:color w:val="auto"/>
          <w:sz w:val="22"/>
          <w:szCs w:val="22"/>
          <w:highlight w:val="none"/>
          <w:lang w:val="zh-CN"/>
        </w:rPr>
      </w:pPr>
      <w:r>
        <w:rPr>
          <w:rFonts w:hint="eastAsia" w:ascii="宋体" w:hAnsi="宋体" w:eastAsia="宋体" w:cs="宋体"/>
          <w:b/>
          <w:bCs/>
          <w:color w:val="auto"/>
          <w:sz w:val="22"/>
          <w:szCs w:val="22"/>
          <w:highlight w:val="none"/>
          <w:lang w:val="zh-CN"/>
        </w:rPr>
        <w:t>二、评标原则</w:t>
      </w:r>
    </w:p>
    <w:p w14:paraId="4F910F59">
      <w:pPr>
        <w:keepNext w:val="0"/>
        <w:keepLines w:val="0"/>
        <w:pageBreakBefore w:val="0"/>
        <w:widowControl w:val="0"/>
        <w:kinsoku/>
        <w:wordWrap/>
        <w:overflowPunct/>
        <w:topLinePunct w:val="0"/>
        <w:autoSpaceDE w:val="0"/>
        <w:autoSpaceDN w:val="0"/>
        <w:bidi w:val="0"/>
        <w:snapToGrid w:val="0"/>
        <w:spacing w:line="312" w:lineRule="auto"/>
        <w:ind w:left="0" w:leftChars="0" w:firstLine="440" w:firstLineChars="200"/>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lang w:val="zh-CN"/>
        </w:rPr>
        <w:t>竞争优选；</w:t>
      </w:r>
    </w:p>
    <w:p w14:paraId="3F360E63">
      <w:pPr>
        <w:keepNext w:val="0"/>
        <w:keepLines w:val="0"/>
        <w:pageBreakBefore w:val="0"/>
        <w:widowControl w:val="0"/>
        <w:kinsoku/>
        <w:wordWrap/>
        <w:overflowPunct/>
        <w:topLinePunct w:val="0"/>
        <w:autoSpaceDE w:val="0"/>
        <w:autoSpaceDN w:val="0"/>
        <w:bidi w:val="0"/>
        <w:snapToGrid w:val="0"/>
        <w:spacing w:line="312" w:lineRule="auto"/>
        <w:ind w:left="0" w:leftChars="0" w:firstLine="440" w:firstLineChars="200"/>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eastAsia="zh-CN"/>
        </w:rPr>
        <w:t>2.</w:t>
      </w:r>
      <w:r>
        <w:rPr>
          <w:rFonts w:hint="eastAsia" w:ascii="宋体" w:hAnsi="宋体" w:eastAsia="宋体" w:cs="宋体"/>
          <w:color w:val="auto"/>
          <w:sz w:val="22"/>
          <w:szCs w:val="22"/>
          <w:highlight w:val="none"/>
          <w:lang w:val="zh-CN"/>
        </w:rPr>
        <w:t>公开、公正、公平、优质、合理低价的原则；</w:t>
      </w:r>
    </w:p>
    <w:p w14:paraId="608E226C">
      <w:pPr>
        <w:keepNext w:val="0"/>
        <w:keepLines w:val="0"/>
        <w:pageBreakBefore w:val="0"/>
        <w:widowControl w:val="0"/>
        <w:kinsoku/>
        <w:wordWrap/>
        <w:overflowPunct/>
        <w:topLinePunct w:val="0"/>
        <w:autoSpaceDE w:val="0"/>
        <w:autoSpaceDN w:val="0"/>
        <w:bidi w:val="0"/>
        <w:snapToGrid w:val="0"/>
        <w:spacing w:line="312" w:lineRule="auto"/>
        <w:ind w:left="0" w:leftChars="0" w:firstLine="440" w:firstLineChars="200"/>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lang w:val="zh-CN"/>
        </w:rPr>
        <w:t>人员素质好，信誉高，诚信的原则；</w:t>
      </w:r>
    </w:p>
    <w:p w14:paraId="753B460C">
      <w:pPr>
        <w:keepNext w:val="0"/>
        <w:keepLines w:val="0"/>
        <w:pageBreakBefore w:val="0"/>
        <w:widowControl w:val="0"/>
        <w:kinsoku/>
        <w:wordWrap/>
        <w:overflowPunct/>
        <w:topLinePunct w:val="0"/>
        <w:autoSpaceDE w:val="0"/>
        <w:autoSpaceDN w:val="0"/>
        <w:bidi w:val="0"/>
        <w:snapToGrid w:val="0"/>
        <w:spacing w:line="312" w:lineRule="auto"/>
        <w:ind w:left="0" w:leftChars="0" w:firstLine="440" w:firstLineChars="200"/>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lang w:val="zh-CN"/>
        </w:rPr>
        <w:t>反对不正当竞争。</w:t>
      </w:r>
    </w:p>
    <w:p w14:paraId="27C1041B">
      <w:pPr>
        <w:keepNext w:val="0"/>
        <w:keepLines w:val="0"/>
        <w:pageBreakBefore w:val="0"/>
        <w:widowControl w:val="0"/>
        <w:kinsoku/>
        <w:wordWrap/>
        <w:overflowPunct/>
        <w:topLinePunct w:val="0"/>
        <w:bidi w:val="0"/>
        <w:snapToGrid w:val="0"/>
        <w:spacing w:line="312" w:lineRule="auto"/>
        <w:ind w:left="0" w:leftChars="0" w:firstLine="442" w:firstLineChars="200"/>
        <w:textAlignment w:val="auto"/>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eastAsia="zh-CN"/>
        </w:rPr>
        <w:t>三、</w:t>
      </w:r>
      <w:r>
        <w:rPr>
          <w:rFonts w:hint="eastAsia" w:ascii="宋体" w:hAnsi="宋体" w:eastAsia="宋体" w:cs="宋体"/>
          <w:b/>
          <w:color w:val="auto"/>
          <w:sz w:val="22"/>
          <w:szCs w:val="22"/>
          <w:highlight w:val="none"/>
        </w:rPr>
        <w:t>评标要求</w:t>
      </w:r>
    </w:p>
    <w:p w14:paraId="4134D55A">
      <w:pPr>
        <w:keepNext w:val="0"/>
        <w:keepLines w:val="0"/>
        <w:pageBreakBefore w:val="0"/>
        <w:widowControl w:val="0"/>
        <w:kinsoku/>
        <w:wordWrap/>
        <w:overflowPunct/>
        <w:topLinePunct w:val="0"/>
        <w:bidi w:val="0"/>
        <w:snapToGrid w:val="0"/>
        <w:spacing w:line="312" w:lineRule="auto"/>
        <w:ind w:left="0" w:leftChars="0" w:firstLine="440" w:firstLineChars="200"/>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lang w:val="zh-CN"/>
        </w:rPr>
        <w:t>评标委员会成员应认真研究招标文件，按照招标文件规定的“评标办法”对投标文件进行评审。</w:t>
      </w:r>
    </w:p>
    <w:p w14:paraId="3F454545">
      <w:pPr>
        <w:keepNext w:val="0"/>
        <w:keepLines w:val="0"/>
        <w:pageBreakBefore w:val="0"/>
        <w:widowControl w:val="0"/>
        <w:kinsoku/>
        <w:wordWrap/>
        <w:overflowPunct/>
        <w:topLinePunct w:val="0"/>
        <w:bidi w:val="0"/>
        <w:snapToGrid w:val="0"/>
        <w:spacing w:line="312" w:lineRule="auto"/>
        <w:ind w:left="0" w:leftChars="0" w:firstLine="440" w:firstLineChars="200"/>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lang w:val="zh-CN"/>
        </w:rPr>
        <w:t>下列情况属于重大偏差：</w:t>
      </w:r>
    </w:p>
    <w:p w14:paraId="19D4F250">
      <w:pPr>
        <w:keepNext w:val="0"/>
        <w:keepLines w:val="0"/>
        <w:pageBreakBefore w:val="0"/>
        <w:widowControl w:val="0"/>
        <w:kinsoku/>
        <w:wordWrap/>
        <w:overflowPunct/>
        <w:topLinePunct w:val="0"/>
        <w:bidi w:val="0"/>
        <w:snapToGrid w:val="0"/>
        <w:spacing w:line="312" w:lineRule="auto"/>
        <w:ind w:left="0" w:leftChars="0" w:firstLine="440" w:firstLineChars="200"/>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2.1 投标书未按规定加盖投标人法人单位公章和法定代表人签字（复印件无效）或盖章的；</w:t>
      </w:r>
    </w:p>
    <w:p w14:paraId="782F5DA4">
      <w:pPr>
        <w:keepNext w:val="0"/>
        <w:keepLines w:val="0"/>
        <w:pageBreakBefore w:val="0"/>
        <w:widowControl w:val="0"/>
        <w:kinsoku/>
        <w:wordWrap/>
        <w:overflowPunct/>
        <w:topLinePunct w:val="0"/>
        <w:bidi w:val="0"/>
        <w:snapToGrid w:val="0"/>
        <w:spacing w:line="312" w:lineRule="auto"/>
        <w:ind w:left="0" w:leftChars="0" w:firstLine="440" w:firstLineChars="200"/>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2.2 投标文件未按规定的格式填写，内容不全或关键字迹模糊、无法辨认的；</w:t>
      </w:r>
    </w:p>
    <w:p w14:paraId="117E8471">
      <w:pPr>
        <w:keepNext w:val="0"/>
        <w:keepLines w:val="0"/>
        <w:pageBreakBefore w:val="0"/>
        <w:widowControl w:val="0"/>
        <w:kinsoku/>
        <w:wordWrap/>
        <w:overflowPunct/>
        <w:topLinePunct w:val="0"/>
        <w:bidi w:val="0"/>
        <w:snapToGrid w:val="0"/>
        <w:spacing w:line="312" w:lineRule="auto"/>
        <w:ind w:left="0" w:firstLine="440" w:firstLineChars="200"/>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2.3 投标人递交两份或多份内容不同的投标文件，或在一份投标文件中对同一招标项目有两个或多个报价，且事先未声明哪一份有效，按招标文件规定提交备选投标方案的除外；</w:t>
      </w:r>
    </w:p>
    <w:p w14:paraId="5CCDD3DB">
      <w:pPr>
        <w:keepNext w:val="0"/>
        <w:keepLines w:val="0"/>
        <w:pageBreakBefore w:val="0"/>
        <w:widowControl w:val="0"/>
        <w:kinsoku/>
        <w:wordWrap/>
        <w:overflowPunct/>
        <w:topLinePunct w:val="0"/>
        <w:bidi w:val="0"/>
        <w:snapToGrid w:val="0"/>
        <w:spacing w:line="312" w:lineRule="auto"/>
        <w:ind w:left="0" w:leftChars="0" w:firstLine="440" w:firstLineChars="200"/>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2.4 投标人名称与资格审查时不一致的；</w:t>
      </w:r>
    </w:p>
    <w:p w14:paraId="1E9E4748">
      <w:pPr>
        <w:keepNext w:val="0"/>
        <w:keepLines w:val="0"/>
        <w:pageBreakBefore w:val="0"/>
        <w:widowControl w:val="0"/>
        <w:kinsoku/>
        <w:wordWrap/>
        <w:overflowPunct/>
        <w:topLinePunct w:val="0"/>
        <w:bidi w:val="0"/>
        <w:snapToGrid w:val="0"/>
        <w:spacing w:line="312" w:lineRule="auto"/>
        <w:ind w:left="0" w:leftChars="0" w:firstLine="440" w:firstLineChars="200"/>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2.5 投标文件载明的招标项目完成期限超过招标文件规定期限的；</w:t>
      </w:r>
    </w:p>
    <w:p w14:paraId="6533FD0D">
      <w:pPr>
        <w:keepNext w:val="0"/>
        <w:keepLines w:val="0"/>
        <w:pageBreakBefore w:val="0"/>
        <w:widowControl w:val="0"/>
        <w:kinsoku/>
        <w:wordWrap/>
        <w:overflowPunct/>
        <w:topLinePunct w:val="0"/>
        <w:bidi w:val="0"/>
        <w:snapToGrid w:val="0"/>
        <w:spacing w:line="312" w:lineRule="auto"/>
        <w:ind w:left="0" w:leftChars="0" w:firstLine="440" w:firstLineChars="200"/>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2.6 投标文件载明的技术标准和方案明显不符合招标文件要求的；</w:t>
      </w:r>
    </w:p>
    <w:p w14:paraId="358C0032">
      <w:pPr>
        <w:keepNext w:val="0"/>
        <w:keepLines w:val="0"/>
        <w:pageBreakBefore w:val="0"/>
        <w:widowControl w:val="0"/>
        <w:kinsoku/>
        <w:wordWrap/>
        <w:overflowPunct/>
        <w:topLinePunct w:val="0"/>
        <w:bidi w:val="0"/>
        <w:snapToGrid w:val="0"/>
        <w:spacing w:line="312" w:lineRule="auto"/>
        <w:ind w:left="0" w:leftChars="0" w:firstLine="440" w:firstLineChars="200"/>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2.7 投标文件附有招标人不能接受条件的；</w:t>
      </w:r>
    </w:p>
    <w:p w14:paraId="300A962F">
      <w:pPr>
        <w:keepNext w:val="0"/>
        <w:keepLines w:val="0"/>
        <w:pageBreakBefore w:val="0"/>
        <w:widowControl w:val="0"/>
        <w:kinsoku/>
        <w:wordWrap/>
        <w:overflowPunct/>
        <w:topLinePunct w:val="0"/>
        <w:bidi w:val="0"/>
        <w:snapToGrid w:val="0"/>
        <w:spacing w:line="312" w:lineRule="auto"/>
        <w:ind w:left="0" w:leftChars="0" w:firstLine="440" w:firstLineChars="200"/>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2.8 未能在实质上响应招标文件规定的；</w:t>
      </w:r>
    </w:p>
    <w:p w14:paraId="570066F1">
      <w:pPr>
        <w:keepNext w:val="0"/>
        <w:keepLines w:val="0"/>
        <w:pageBreakBefore w:val="0"/>
        <w:widowControl w:val="0"/>
        <w:kinsoku/>
        <w:wordWrap/>
        <w:overflowPunct/>
        <w:topLinePunct w:val="0"/>
        <w:bidi w:val="0"/>
        <w:snapToGrid w:val="0"/>
        <w:spacing w:line="312" w:lineRule="auto"/>
        <w:ind w:left="0" w:leftChars="0" w:firstLine="440" w:firstLineChars="200"/>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重大偏差因未能对招标文件作出实质性响应，应作废标处理。</w:t>
      </w:r>
    </w:p>
    <w:p w14:paraId="460D1E50">
      <w:pPr>
        <w:keepNext w:val="0"/>
        <w:keepLines w:val="0"/>
        <w:pageBreakBefore w:val="0"/>
        <w:widowControl w:val="0"/>
        <w:kinsoku/>
        <w:wordWrap/>
        <w:overflowPunct/>
        <w:topLinePunct w:val="0"/>
        <w:bidi w:val="0"/>
        <w:snapToGrid w:val="0"/>
        <w:spacing w:line="312" w:lineRule="auto"/>
        <w:ind w:left="0" w:leftChars="0" w:firstLine="440" w:firstLineChars="200"/>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3.细微偏差是指投标文件在实质上响应招标文件要求，但在个别地方存在漏项或者提供了不完整的技术信息和数据等情况，并且补正这些遗漏或者不完整不会对其他投标人造成不公平的结果，细微偏差不影响投标文件的有效性。</w:t>
      </w:r>
    </w:p>
    <w:p w14:paraId="584401B4">
      <w:pPr>
        <w:keepNext w:val="0"/>
        <w:keepLines w:val="0"/>
        <w:pageBreakBefore w:val="0"/>
        <w:widowControl w:val="0"/>
        <w:kinsoku/>
        <w:wordWrap/>
        <w:overflowPunct/>
        <w:topLinePunct w:val="0"/>
        <w:bidi w:val="0"/>
        <w:snapToGrid w:val="0"/>
        <w:spacing w:line="312" w:lineRule="auto"/>
        <w:ind w:left="0" w:leftChars="0" w:firstLine="440" w:firstLineChars="200"/>
        <w:textAlignment w:val="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评标委员会应当书面要求存在细微偏差的投标人在评标结束前予以补正。拒不补正的，在详细评审时可以对细微偏差作不利于该投标人的量化，量化标准由评标委员会确定，并不向投标人作出解释。</w:t>
      </w:r>
    </w:p>
    <w:p w14:paraId="219802FA">
      <w:pPr>
        <w:keepNext w:val="0"/>
        <w:keepLines w:val="0"/>
        <w:pageBreakBefore w:val="0"/>
        <w:widowControl w:val="0"/>
        <w:kinsoku/>
        <w:wordWrap/>
        <w:overflowPunct/>
        <w:topLinePunct w:val="0"/>
        <w:bidi w:val="0"/>
        <w:snapToGrid w:val="0"/>
        <w:spacing w:line="312" w:lineRule="auto"/>
        <w:ind w:left="0" w:leftChars="0" w:firstLine="440" w:firstLineChars="200"/>
        <w:textAlignment w:val="auto"/>
        <w:rPr>
          <w:rFonts w:hint="eastAsia" w:ascii="宋体" w:hAnsi="宋体" w:eastAsia="宋体" w:cs="宋体"/>
          <w:color w:val="auto"/>
          <w:sz w:val="22"/>
          <w:szCs w:val="22"/>
          <w:highlight w:val="none"/>
          <w:lang w:val="zh-CN"/>
        </w:rPr>
      </w:pPr>
      <w:r>
        <w:rPr>
          <w:rFonts w:hint="eastAsia" w:ascii="宋体" w:hAnsi="宋体" w:cs="宋体"/>
          <w:color w:val="auto"/>
          <w:sz w:val="22"/>
          <w:szCs w:val="22"/>
          <w:highlight w:val="none"/>
          <w:lang w:val="en-US" w:eastAsia="zh-CN"/>
        </w:rPr>
        <w:t>4.</w:t>
      </w:r>
      <w:r>
        <w:rPr>
          <w:rFonts w:hint="eastAsia" w:ascii="宋体" w:hAnsi="宋体" w:eastAsia="宋体" w:cs="宋体"/>
          <w:color w:val="auto"/>
          <w:sz w:val="22"/>
          <w:szCs w:val="22"/>
          <w:highlight w:val="none"/>
          <w:lang w:val="zh-CN"/>
        </w:rPr>
        <w:t>评标委员会经评审，有效投标不足3个的，招标人应当依法重新招标。</w:t>
      </w:r>
    </w:p>
    <w:p w14:paraId="7FCEE78D">
      <w:pPr>
        <w:keepNext w:val="0"/>
        <w:keepLines w:val="0"/>
        <w:pageBreakBefore w:val="0"/>
        <w:widowControl w:val="0"/>
        <w:kinsoku/>
        <w:wordWrap/>
        <w:overflowPunct/>
        <w:topLinePunct w:val="0"/>
        <w:bidi w:val="0"/>
        <w:snapToGrid w:val="0"/>
        <w:spacing w:line="312" w:lineRule="auto"/>
        <w:ind w:left="0" w:leftChars="0" w:firstLine="440" w:firstLineChars="200"/>
        <w:textAlignment w:val="auto"/>
        <w:rPr>
          <w:rFonts w:hint="eastAsia" w:ascii="宋体" w:hAnsi="宋体" w:eastAsia="宋体" w:cs="宋体"/>
          <w:color w:val="auto"/>
          <w:sz w:val="22"/>
          <w:szCs w:val="22"/>
          <w:highlight w:val="none"/>
          <w:lang w:val="zh-CN"/>
        </w:rPr>
      </w:pP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lang w:val="zh-CN"/>
        </w:rPr>
        <w:t>对资格审查不合格的投标人，评标委员会将不再对该投标人的技术标和商务标作进一步的评审。</w:t>
      </w:r>
    </w:p>
    <w:p w14:paraId="64171190">
      <w:pPr>
        <w:keepNext w:val="0"/>
        <w:keepLines w:val="0"/>
        <w:pageBreakBefore w:val="0"/>
        <w:widowControl w:val="0"/>
        <w:kinsoku/>
        <w:wordWrap/>
        <w:overflowPunct/>
        <w:topLinePunct w:val="0"/>
        <w:autoSpaceDE/>
        <w:autoSpaceDN/>
        <w:bidi w:val="0"/>
        <w:adjustRightInd/>
        <w:snapToGrid w:val="0"/>
        <w:spacing w:line="312" w:lineRule="auto"/>
        <w:ind w:firstLine="433" w:firstLineChars="196"/>
        <w:textAlignment w:val="auto"/>
        <w:rPr>
          <w:rFonts w:ascii="宋体" w:hAnsi="宋体"/>
          <w:b/>
          <w:color w:val="auto"/>
          <w:sz w:val="22"/>
          <w:szCs w:val="22"/>
          <w:highlight w:val="none"/>
        </w:rPr>
      </w:pPr>
      <w:r>
        <w:rPr>
          <w:rFonts w:hint="eastAsia" w:ascii="宋体" w:hAnsi="宋体"/>
          <w:b/>
          <w:color w:val="auto"/>
          <w:sz w:val="22"/>
          <w:szCs w:val="22"/>
          <w:highlight w:val="none"/>
        </w:rPr>
        <w:t>（</w:t>
      </w:r>
      <w:r>
        <w:rPr>
          <w:rFonts w:hint="eastAsia" w:ascii="宋体" w:hAnsi="宋体"/>
          <w:b/>
          <w:color w:val="auto"/>
          <w:sz w:val="22"/>
          <w:szCs w:val="22"/>
          <w:highlight w:val="none"/>
          <w:lang w:eastAsia="zh-CN"/>
        </w:rPr>
        <w:t>四</w:t>
      </w:r>
      <w:r>
        <w:rPr>
          <w:rFonts w:hint="eastAsia" w:ascii="宋体" w:hAnsi="宋体"/>
          <w:b/>
          <w:color w:val="auto"/>
          <w:sz w:val="22"/>
          <w:szCs w:val="22"/>
          <w:highlight w:val="none"/>
        </w:rPr>
        <w:t>）评标办法</w:t>
      </w:r>
    </w:p>
    <w:p w14:paraId="2B0B0D37">
      <w:pPr>
        <w:keepNext w:val="0"/>
        <w:keepLines w:val="0"/>
        <w:pageBreakBefore w:val="0"/>
        <w:widowControl w:val="0"/>
        <w:kinsoku/>
        <w:wordWrap/>
        <w:overflowPunct/>
        <w:topLinePunct w:val="0"/>
        <w:autoSpaceDE/>
        <w:autoSpaceDN/>
        <w:bidi w:val="0"/>
        <w:adjustRightInd/>
        <w:snapToGrid w:val="0"/>
        <w:spacing w:line="312" w:lineRule="auto"/>
        <w:ind w:firstLine="492" w:firstLineChars="224"/>
        <w:textAlignment w:val="auto"/>
        <w:rPr>
          <w:rFonts w:ascii="宋体" w:hAnsi="宋体"/>
          <w:color w:val="auto"/>
          <w:sz w:val="22"/>
          <w:szCs w:val="22"/>
          <w:highlight w:val="none"/>
        </w:rPr>
      </w:pPr>
      <w:r>
        <w:rPr>
          <w:rFonts w:hint="eastAsia" w:ascii="宋体" w:hAnsi="宋体"/>
          <w:color w:val="auto"/>
          <w:sz w:val="22"/>
          <w:szCs w:val="22"/>
          <w:highlight w:val="none"/>
        </w:rPr>
        <w:t>1</w:t>
      </w:r>
      <w:r>
        <w:rPr>
          <w:rFonts w:hint="eastAsia" w:ascii="宋体" w:hAnsi="宋体"/>
          <w:color w:val="auto"/>
          <w:sz w:val="22"/>
          <w:szCs w:val="22"/>
          <w:highlight w:val="none"/>
          <w:lang w:val="en-US" w:eastAsia="zh-CN"/>
        </w:rPr>
        <w:t>.</w:t>
      </w:r>
      <w:r>
        <w:rPr>
          <w:rFonts w:hint="eastAsia" w:ascii="宋体" w:hAnsi="宋体"/>
          <w:b/>
          <w:bCs/>
          <w:color w:val="auto"/>
          <w:sz w:val="22"/>
          <w:szCs w:val="22"/>
          <w:highlight w:val="none"/>
        </w:rPr>
        <w:t>入围方式：</w:t>
      </w:r>
      <w:r>
        <w:rPr>
          <w:rFonts w:hint="eastAsia" w:ascii="宋体" w:hAnsi="宋体"/>
          <w:color w:val="auto"/>
          <w:sz w:val="22"/>
          <w:szCs w:val="22"/>
          <w:highlight w:val="none"/>
        </w:rPr>
        <w:t>全部入围。</w:t>
      </w:r>
    </w:p>
    <w:p w14:paraId="672BB405">
      <w:pPr>
        <w:keepNext w:val="0"/>
        <w:keepLines w:val="0"/>
        <w:pageBreakBefore w:val="0"/>
        <w:widowControl w:val="0"/>
        <w:kinsoku/>
        <w:wordWrap/>
        <w:overflowPunct/>
        <w:topLinePunct w:val="0"/>
        <w:autoSpaceDE/>
        <w:autoSpaceDN/>
        <w:bidi w:val="0"/>
        <w:adjustRightInd/>
        <w:snapToGrid w:val="0"/>
        <w:spacing w:line="312" w:lineRule="auto"/>
        <w:ind w:firstLine="492" w:firstLineChars="224"/>
        <w:textAlignment w:val="auto"/>
        <w:rPr>
          <w:rFonts w:hint="eastAsia" w:ascii="宋体" w:hAnsi="宋体"/>
          <w:b w:val="0"/>
          <w:bCs/>
          <w:color w:val="auto"/>
          <w:kern w:val="0"/>
          <w:sz w:val="22"/>
          <w:szCs w:val="22"/>
          <w:highlight w:val="none"/>
          <w:lang w:val="en-US" w:eastAsia="zh-CN"/>
        </w:rPr>
      </w:pPr>
      <w:r>
        <w:rPr>
          <w:rFonts w:hint="eastAsia" w:ascii="宋体" w:hAnsi="宋体"/>
          <w:b w:val="0"/>
          <w:bCs/>
          <w:color w:val="auto"/>
          <w:kern w:val="0"/>
          <w:sz w:val="22"/>
          <w:szCs w:val="22"/>
          <w:highlight w:val="none"/>
          <w:lang w:val="en-US" w:eastAsia="zh-CN"/>
        </w:rPr>
        <w:t>2. 本次评标采用综合评估法，评标委员会对资格审查合格的投标人技术标、商务标进行评审计分。</w:t>
      </w:r>
    </w:p>
    <w:p w14:paraId="2978C5E9">
      <w:pPr>
        <w:keepNext w:val="0"/>
        <w:keepLines w:val="0"/>
        <w:pageBreakBefore w:val="0"/>
        <w:widowControl w:val="0"/>
        <w:kinsoku/>
        <w:wordWrap/>
        <w:overflowPunct/>
        <w:topLinePunct w:val="0"/>
        <w:autoSpaceDE/>
        <w:autoSpaceDN/>
        <w:bidi w:val="0"/>
        <w:adjustRightInd/>
        <w:snapToGrid w:val="0"/>
        <w:spacing w:line="312" w:lineRule="auto"/>
        <w:ind w:firstLine="492" w:firstLineChars="224"/>
        <w:textAlignment w:val="auto"/>
        <w:rPr>
          <w:rFonts w:hint="eastAsia" w:ascii="宋体" w:hAnsi="宋体"/>
          <w:b w:val="0"/>
          <w:bCs/>
          <w:color w:val="auto"/>
          <w:kern w:val="0"/>
          <w:sz w:val="22"/>
          <w:szCs w:val="22"/>
          <w:highlight w:val="none"/>
          <w:lang w:val="en-US" w:eastAsia="zh-CN"/>
        </w:rPr>
      </w:pPr>
      <w:r>
        <w:rPr>
          <w:rFonts w:hint="eastAsia" w:ascii="宋体" w:hAnsi="宋体"/>
          <w:b w:val="0"/>
          <w:bCs/>
          <w:color w:val="auto"/>
          <w:kern w:val="0"/>
          <w:sz w:val="22"/>
          <w:szCs w:val="22"/>
          <w:highlight w:val="none"/>
          <w:lang w:val="en-US" w:eastAsia="zh-CN"/>
        </w:rPr>
        <w:t>3. 技术标（满分70分）</w:t>
      </w:r>
    </w:p>
    <w:tbl>
      <w:tblPr>
        <w:tblStyle w:val="2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470"/>
        <w:gridCol w:w="1112"/>
        <w:gridCol w:w="6723"/>
        <w:gridCol w:w="977"/>
      </w:tblGrid>
      <w:tr w14:paraId="0C218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53" w:type="pct"/>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04574A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序号</w:t>
            </w:r>
          </w:p>
        </w:tc>
        <w:tc>
          <w:tcPr>
            <w:tcW w:w="599" w:type="pct"/>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26EFBA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评分项</w:t>
            </w:r>
          </w:p>
        </w:tc>
        <w:tc>
          <w:tcPr>
            <w:tcW w:w="3621" w:type="pc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65A2D4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评分内容</w:t>
            </w:r>
          </w:p>
        </w:tc>
        <w:tc>
          <w:tcPr>
            <w:tcW w:w="525" w:type="pc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2CCE9B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分值</w:t>
            </w:r>
          </w:p>
        </w:tc>
      </w:tr>
      <w:tr w14:paraId="2EF84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0" w:hRule="atLeast"/>
          <w:jc w:val="center"/>
        </w:trPr>
        <w:tc>
          <w:tcPr>
            <w:tcW w:w="253" w:type="pct"/>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12275B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1</w:t>
            </w:r>
          </w:p>
        </w:tc>
        <w:tc>
          <w:tcPr>
            <w:tcW w:w="599" w:type="pct"/>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60585D46">
            <w:pPr>
              <w:pStyle w:val="8"/>
              <w:keepNext w:val="0"/>
              <w:keepLines w:val="0"/>
              <w:pageBreakBefore w:val="0"/>
              <w:widowControl w:val="0"/>
              <w:suppressLineNumbers w:val="0"/>
              <w:kinsoku/>
              <w:wordWrap/>
              <w:overflowPunct/>
              <w:topLinePunct w:val="0"/>
              <w:autoSpaceDE/>
              <w:bidi w:val="0"/>
              <w:adjustRightInd w:val="0"/>
              <w:snapToGrid w:val="0"/>
              <w:spacing w:before="0" w:beforeAutospacing="0" w:after="0" w:afterAutospacing="0" w:line="312" w:lineRule="auto"/>
              <w:ind w:left="0" w:leftChars="0" w:right="0"/>
              <w:jc w:val="center"/>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企业资质</w:t>
            </w:r>
          </w:p>
        </w:tc>
        <w:tc>
          <w:tcPr>
            <w:tcW w:w="3621" w:type="pc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top"/>
          </w:tcPr>
          <w:p w14:paraId="3E78A5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投标人具有通信工程施工总承包三级资质，且具备有效的企业安全生产许可证的，得1分；具有通信工程施工总承包二级资质，且具备有效的企业安全生产许可证的，得2分；具有通信工程施工总承包一级资质，且具备有效的企业安全生产许可证的，得3分。</w:t>
            </w:r>
          </w:p>
          <w:p w14:paraId="573815CF">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12" w:lineRule="auto"/>
              <w:ind w:left="0" w:right="0" w:firstLine="440" w:firstLineChars="200"/>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注：投标文件中需提供有效期内的证书复印件并加盖投标人公章，未提供不得分。</w:t>
            </w:r>
          </w:p>
          <w:p w14:paraId="22C25BE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firstLine="440" w:firstLineChars="200"/>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w:t>
            </w:r>
            <w:r>
              <w:rPr>
                <w:rFonts w:hint="eastAsia" w:ascii="宋体" w:hAnsi="宋体" w:eastAsia="宋体" w:cs="宋体"/>
                <w:color w:val="auto"/>
                <w:sz w:val="22"/>
                <w:szCs w:val="22"/>
                <w:highlight w:val="none"/>
                <w:u w:val="none"/>
                <w:lang w:val="en-US" w:eastAsia="zh-CN"/>
              </w:rPr>
              <w:t>2）投标人具有有效期内质量管理体系认证、环境管理体系认证、职业健康安全管理体系认证，每个得1分，共3分。</w:t>
            </w:r>
          </w:p>
          <w:p w14:paraId="106746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firstLine="440" w:firstLineChars="200"/>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注：须提供相关证书复印件及www.cnca.gov.cn认监委官方网站截图，未提供不得分。</w:t>
            </w:r>
          </w:p>
        </w:tc>
        <w:tc>
          <w:tcPr>
            <w:tcW w:w="525" w:type="pc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1253B2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6</w:t>
            </w:r>
          </w:p>
        </w:tc>
      </w:tr>
      <w:tr w14:paraId="7DA42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0" w:hRule="atLeast"/>
          <w:jc w:val="center"/>
        </w:trPr>
        <w:tc>
          <w:tcPr>
            <w:tcW w:w="253" w:type="pct"/>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0159B4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2</w:t>
            </w:r>
          </w:p>
        </w:tc>
        <w:tc>
          <w:tcPr>
            <w:tcW w:w="599" w:type="pct"/>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2CF24BEE">
            <w:pPr>
              <w:pStyle w:val="8"/>
              <w:keepNext w:val="0"/>
              <w:keepLines w:val="0"/>
              <w:pageBreakBefore w:val="0"/>
              <w:widowControl w:val="0"/>
              <w:suppressLineNumbers w:val="0"/>
              <w:kinsoku/>
              <w:wordWrap/>
              <w:overflowPunct/>
              <w:topLinePunct w:val="0"/>
              <w:autoSpaceDE/>
              <w:bidi w:val="0"/>
              <w:adjustRightInd w:val="0"/>
              <w:snapToGrid w:val="0"/>
              <w:spacing w:before="0" w:beforeAutospacing="0" w:after="0" w:afterAutospacing="0" w:line="312" w:lineRule="auto"/>
              <w:ind w:left="0" w:leftChars="0" w:right="0"/>
              <w:jc w:val="center"/>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业绩</w:t>
            </w:r>
          </w:p>
        </w:tc>
        <w:tc>
          <w:tcPr>
            <w:tcW w:w="3621" w:type="pc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top"/>
          </w:tcPr>
          <w:p w14:paraId="77E76FFE">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12" w:lineRule="auto"/>
              <w:ind w:left="0" w:leftChars="0" w:right="0" w:firstLine="440" w:firstLineChars="200"/>
              <w:textAlignment w:val="auto"/>
              <w:rPr>
                <w:rFonts w:hint="eastAsia" w:ascii="宋体" w:hAnsi="宋体" w:eastAsia="宋体" w:cs="宋体"/>
                <w:color w:val="auto"/>
                <w:sz w:val="22"/>
                <w:szCs w:val="22"/>
                <w:highlight w:val="none"/>
                <w:u w:val="none"/>
              </w:rPr>
            </w:pPr>
            <w:r>
              <w:rPr>
                <w:rFonts w:hint="eastAsia" w:ascii="宋体" w:hAnsi="宋体" w:eastAsia="宋体" w:cs="宋体"/>
                <w:color w:val="auto"/>
                <w:sz w:val="22"/>
                <w:szCs w:val="22"/>
                <w:highlight w:val="none"/>
                <w:u w:val="none"/>
                <w:lang w:val="en-US" w:eastAsia="zh-CN"/>
              </w:rPr>
              <w:t>投标人</w:t>
            </w:r>
            <w:r>
              <w:rPr>
                <w:rFonts w:hint="eastAsia" w:ascii="宋体" w:hAnsi="宋体" w:eastAsia="宋体" w:cs="宋体"/>
                <w:color w:val="auto"/>
                <w:sz w:val="22"/>
                <w:szCs w:val="22"/>
                <w:highlight w:val="none"/>
                <w:u w:val="none"/>
              </w:rPr>
              <w:t>自20</w:t>
            </w:r>
            <w:r>
              <w:rPr>
                <w:rFonts w:hint="eastAsia" w:ascii="宋体" w:hAnsi="宋体" w:eastAsia="宋体" w:cs="宋体"/>
                <w:color w:val="auto"/>
                <w:sz w:val="22"/>
                <w:szCs w:val="22"/>
                <w:highlight w:val="none"/>
                <w:u w:val="none"/>
                <w:lang w:val="en-US" w:eastAsia="zh-CN"/>
              </w:rPr>
              <w:t>21</w:t>
            </w:r>
            <w:r>
              <w:rPr>
                <w:rFonts w:hint="eastAsia" w:ascii="宋体" w:hAnsi="宋体" w:eastAsia="宋体" w:cs="宋体"/>
                <w:color w:val="auto"/>
                <w:sz w:val="22"/>
                <w:szCs w:val="22"/>
                <w:highlight w:val="none"/>
                <w:u w:val="none"/>
              </w:rPr>
              <w:t>年</w:t>
            </w:r>
            <w:r>
              <w:rPr>
                <w:rFonts w:hint="eastAsia" w:ascii="宋体" w:hAnsi="宋体" w:eastAsia="宋体" w:cs="宋体"/>
                <w:color w:val="auto"/>
                <w:sz w:val="22"/>
                <w:szCs w:val="22"/>
                <w:highlight w:val="none"/>
                <w:u w:val="none"/>
                <w:lang w:val="en-US" w:eastAsia="zh-CN"/>
              </w:rPr>
              <w:t>7</w:t>
            </w:r>
            <w:r>
              <w:rPr>
                <w:rFonts w:hint="eastAsia" w:ascii="宋体" w:hAnsi="宋体" w:eastAsia="宋体" w:cs="宋体"/>
                <w:color w:val="auto"/>
                <w:sz w:val="22"/>
                <w:szCs w:val="22"/>
                <w:highlight w:val="none"/>
                <w:u w:val="none"/>
              </w:rPr>
              <w:t>月1日以来，</w:t>
            </w:r>
            <w:r>
              <w:rPr>
                <w:rFonts w:hint="eastAsia" w:ascii="宋体" w:hAnsi="宋体" w:eastAsia="宋体" w:cs="宋体"/>
                <w:color w:val="auto"/>
                <w:sz w:val="22"/>
                <w:szCs w:val="22"/>
                <w:highlight w:val="none"/>
                <w:u w:val="none"/>
                <w:lang w:val="en-US" w:eastAsia="zh-CN"/>
              </w:rPr>
              <w:t>完成</w:t>
            </w:r>
            <w:r>
              <w:rPr>
                <w:rFonts w:hint="eastAsia" w:ascii="宋体" w:hAnsi="宋体" w:eastAsia="宋体" w:cs="宋体"/>
                <w:color w:val="auto"/>
                <w:sz w:val="22"/>
                <w:szCs w:val="22"/>
                <w:highlight w:val="none"/>
                <w:u w:val="none"/>
              </w:rPr>
              <w:t>过单个合同</w:t>
            </w:r>
            <w:r>
              <w:rPr>
                <w:rFonts w:hint="eastAsia" w:ascii="宋体" w:hAnsi="宋体" w:eastAsia="宋体" w:cs="宋体"/>
                <w:color w:val="auto"/>
                <w:sz w:val="22"/>
                <w:szCs w:val="22"/>
                <w:highlight w:val="none"/>
                <w:u w:val="none"/>
                <w:lang w:val="en-US" w:eastAsia="zh-CN"/>
              </w:rPr>
              <w:t>金额100万元</w:t>
            </w:r>
            <w:r>
              <w:rPr>
                <w:rFonts w:hint="eastAsia" w:ascii="宋体" w:hAnsi="宋体" w:eastAsia="宋体" w:cs="宋体"/>
                <w:color w:val="auto"/>
                <w:sz w:val="22"/>
                <w:szCs w:val="22"/>
                <w:highlight w:val="none"/>
                <w:u w:val="none"/>
              </w:rPr>
              <w:t>及以上的</w:t>
            </w:r>
            <w:r>
              <w:rPr>
                <w:rFonts w:hint="eastAsia" w:ascii="宋体" w:hAnsi="宋体" w:eastAsia="宋体" w:cs="宋体"/>
                <w:color w:val="auto"/>
                <w:sz w:val="22"/>
                <w:szCs w:val="22"/>
                <w:highlight w:val="none"/>
                <w:u w:val="single"/>
                <w:lang w:eastAsia="zh-CN"/>
              </w:rPr>
              <w:t>建筑</w:t>
            </w:r>
            <w:r>
              <w:rPr>
                <w:rFonts w:hint="eastAsia" w:ascii="宋体" w:hAnsi="宋体" w:eastAsia="宋体" w:cs="宋体"/>
                <w:color w:val="auto"/>
                <w:sz w:val="22"/>
                <w:szCs w:val="22"/>
                <w:highlight w:val="none"/>
                <w:u w:val="single"/>
                <w:lang w:val="en-US" w:eastAsia="zh-CN"/>
              </w:rPr>
              <w:t>工程的无线</w:t>
            </w:r>
            <w:r>
              <w:rPr>
                <w:rFonts w:hint="eastAsia" w:ascii="宋体" w:hAnsi="宋体" w:eastAsia="宋体" w:cs="宋体"/>
                <w:color w:val="auto"/>
                <w:sz w:val="22"/>
                <w:szCs w:val="22"/>
                <w:highlight w:val="none"/>
                <w:u w:val="single"/>
                <w:lang w:eastAsia="zh-CN"/>
              </w:rPr>
              <w:t>室分</w:t>
            </w:r>
            <w:r>
              <w:rPr>
                <w:rFonts w:hint="eastAsia" w:ascii="宋体" w:hAnsi="宋体" w:eastAsia="宋体" w:cs="宋体"/>
                <w:color w:val="auto"/>
                <w:sz w:val="22"/>
                <w:szCs w:val="22"/>
                <w:highlight w:val="none"/>
                <w:u w:val="none"/>
                <w:lang w:val="en-US" w:eastAsia="zh-CN"/>
              </w:rPr>
              <w:t>项目，每个的1分，最多得3分</w:t>
            </w:r>
            <w:r>
              <w:rPr>
                <w:rFonts w:hint="eastAsia" w:ascii="宋体" w:hAnsi="宋体" w:eastAsia="宋体" w:cs="宋体"/>
                <w:color w:val="auto"/>
                <w:sz w:val="22"/>
                <w:szCs w:val="22"/>
                <w:highlight w:val="none"/>
                <w:u w:val="none"/>
              </w:rPr>
              <w:t>。</w:t>
            </w:r>
          </w:p>
          <w:p w14:paraId="3E2F0F28">
            <w:pPr>
              <w:keepNext w:val="0"/>
              <w:keepLines w:val="0"/>
              <w:pageBreakBefore w:val="0"/>
              <w:widowControl w:val="0"/>
              <w:suppressLineNumbers w:val="0"/>
              <w:kinsoku/>
              <w:wordWrap/>
              <w:overflowPunct/>
              <w:topLinePunct w:val="0"/>
              <w:autoSpaceDE/>
              <w:bidi w:val="0"/>
              <w:snapToGrid w:val="0"/>
              <w:spacing w:before="0" w:beforeAutospacing="0" w:after="0" w:afterAutospacing="0" w:line="312" w:lineRule="auto"/>
              <w:ind w:left="0" w:right="0" w:firstLine="440" w:firstLineChars="200"/>
              <w:rPr>
                <w:rFonts w:hint="eastAsia" w:ascii="宋体" w:hAnsi="宋体" w:eastAsia="宋体" w:cs="宋体"/>
                <w:color w:val="auto"/>
                <w:sz w:val="22"/>
                <w:szCs w:val="22"/>
                <w:highlight w:val="none"/>
                <w:u w:val="none"/>
              </w:rPr>
            </w:pPr>
            <w:r>
              <w:rPr>
                <w:rFonts w:hint="eastAsia" w:ascii="宋体" w:hAnsi="宋体" w:eastAsia="宋体" w:cs="宋体"/>
                <w:color w:val="auto"/>
                <w:sz w:val="22"/>
                <w:szCs w:val="22"/>
                <w:highlight w:val="none"/>
                <w:u w:val="none"/>
              </w:rPr>
              <w:t>备注：</w:t>
            </w:r>
          </w:p>
          <w:p w14:paraId="7E920F95">
            <w:pPr>
              <w:keepNext w:val="0"/>
              <w:keepLines w:val="0"/>
              <w:pageBreakBefore w:val="0"/>
              <w:widowControl w:val="0"/>
              <w:suppressLineNumbers w:val="0"/>
              <w:kinsoku/>
              <w:wordWrap/>
              <w:overflowPunct/>
              <w:topLinePunct w:val="0"/>
              <w:autoSpaceDE/>
              <w:bidi w:val="0"/>
              <w:snapToGrid w:val="0"/>
              <w:spacing w:before="0" w:beforeAutospacing="0" w:after="0" w:afterAutospacing="0" w:line="312" w:lineRule="auto"/>
              <w:ind w:left="0" w:right="0" w:firstLine="440" w:firstLineChars="200"/>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rPr>
              <w:t>①业绩证明资料须同时提供：提供</w:t>
            </w:r>
            <w:r>
              <w:rPr>
                <w:rFonts w:hint="eastAsia" w:ascii="宋体" w:hAnsi="宋体" w:eastAsia="宋体" w:cs="宋体"/>
                <w:color w:val="auto"/>
                <w:sz w:val="22"/>
                <w:szCs w:val="22"/>
                <w:highlight w:val="none"/>
                <w:u w:val="none"/>
                <w:lang w:val="en-US" w:eastAsia="zh-CN"/>
              </w:rPr>
              <w:t>业绩合同、通信发展办（或通建办）出具的《准予接入公网通知书》；</w:t>
            </w:r>
          </w:p>
          <w:p w14:paraId="3D4AA31C">
            <w:pPr>
              <w:keepNext w:val="0"/>
              <w:keepLines w:val="0"/>
              <w:pageBreakBefore w:val="0"/>
              <w:widowControl w:val="0"/>
              <w:suppressLineNumbers w:val="0"/>
              <w:kinsoku/>
              <w:wordWrap/>
              <w:overflowPunct/>
              <w:topLinePunct w:val="0"/>
              <w:autoSpaceDE/>
              <w:bidi w:val="0"/>
              <w:snapToGrid w:val="0"/>
              <w:spacing w:before="0" w:beforeAutospacing="0" w:after="0" w:afterAutospacing="0" w:line="312" w:lineRule="auto"/>
              <w:ind w:left="0" w:right="0" w:firstLine="440" w:firstLineChars="200"/>
              <w:rPr>
                <w:rFonts w:hint="eastAsia" w:ascii="宋体" w:hAnsi="宋体" w:eastAsia="宋体" w:cs="宋体"/>
                <w:color w:val="auto"/>
                <w:sz w:val="22"/>
                <w:szCs w:val="22"/>
                <w:highlight w:val="none"/>
                <w:u w:val="none"/>
              </w:rPr>
            </w:pPr>
            <w:r>
              <w:rPr>
                <w:rFonts w:hint="eastAsia" w:ascii="宋体" w:hAnsi="宋体" w:eastAsia="宋体" w:cs="宋体"/>
                <w:color w:val="auto"/>
                <w:sz w:val="22"/>
                <w:szCs w:val="22"/>
                <w:highlight w:val="none"/>
                <w:u w:val="none"/>
              </w:rPr>
              <w:t>②业绩时间以</w:t>
            </w:r>
            <w:r>
              <w:rPr>
                <w:rFonts w:hint="eastAsia" w:ascii="宋体" w:hAnsi="宋体" w:eastAsia="宋体" w:cs="宋体"/>
                <w:color w:val="auto"/>
                <w:sz w:val="22"/>
                <w:szCs w:val="22"/>
                <w:highlight w:val="none"/>
                <w:u w:val="none"/>
                <w:lang w:val="en-US" w:eastAsia="zh-CN"/>
              </w:rPr>
              <w:t>《准予接入公网通知书》上的</w:t>
            </w:r>
            <w:r>
              <w:rPr>
                <w:rFonts w:hint="eastAsia" w:ascii="宋体" w:hAnsi="宋体" w:eastAsia="宋体" w:cs="宋体"/>
                <w:color w:val="auto"/>
                <w:sz w:val="22"/>
                <w:szCs w:val="22"/>
                <w:highlight w:val="none"/>
                <w:u w:val="none"/>
              </w:rPr>
              <w:t>时间为准</w:t>
            </w:r>
            <w:r>
              <w:rPr>
                <w:rFonts w:hint="eastAsia" w:ascii="宋体" w:hAnsi="宋体" w:eastAsia="宋体" w:cs="宋体"/>
                <w:color w:val="auto"/>
                <w:sz w:val="22"/>
                <w:szCs w:val="22"/>
                <w:highlight w:val="none"/>
                <w:u w:val="none"/>
                <w:lang w:eastAsia="zh-CN"/>
              </w:rPr>
              <w:t>，</w:t>
            </w:r>
            <w:r>
              <w:rPr>
                <w:rFonts w:hint="eastAsia" w:ascii="宋体" w:hAnsi="宋体" w:eastAsia="宋体" w:cs="宋体"/>
                <w:color w:val="auto"/>
                <w:sz w:val="22"/>
                <w:szCs w:val="22"/>
                <w:highlight w:val="none"/>
                <w:u w:val="none"/>
                <w:lang w:val="en-US" w:eastAsia="zh-CN"/>
              </w:rPr>
              <w:t>金额以合同为准</w:t>
            </w:r>
            <w:r>
              <w:rPr>
                <w:rFonts w:hint="eastAsia" w:ascii="宋体" w:hAnsi="宋体" w:eastAsia="宋体" w:cs="宋体"/>
                <w:color w:val="auto"/>
                <w:sz w:val="22"/>
                <w:szCs w:val="22"/>
                <w:highlight w:val="none"/>
                <w:u w:val="none"/>
              </w:rPr>
              <w:t>；</w:t>
            </w:r>
          </w:p>
          <w:p w14:paraId="18A684D6">
            <w:pPr>
              <w:keepNext w:val="0"/>
              <w:keepLines w:val="0"/>
              <w:pageBreakBefore w:val="0"/>
              <w:widowControl w:val="0"/>
              <w:suppressLineNumbers w:val="0"/>
              <w:kinsoku/>
              <w:wordWrap/>
              <w:overflowPunct/>
              <w:topLinePunct w:val="0"/>
              <w:autoSpaceDE/>
              <w:bidi w:val="0"/>
              <w:snapToGrid w:val="0"/>
              <w:spacing w:before="0" w:beforeAutospacing="0" w:after="0" w:afterAutospacing="0" w:line="312" w:lineRule="auto"/>
              <w:ind w:left="0" w:right="0" w:firstLine="440" w:firstLineChars="200"/>
              <w:rPr>
                <w:rFonts w:hint="eastAsia" w:ascii="宋体" w:hAnsi="宋体" w:eastAsia="宋体" w:cs="宋体"/>
                <w:color w:val="auto"/>
                <w:sz w:val="22"/>
                <w:szCs w:val="22"/>
                <w:highlight w:val="none"/>
                <w:u w:val="none"/>
                <w:lang w:eastAsia="zh-CN"/>
              </w:rPr>
            </w:pPr>
            <w:r>
              <w:rPr>
                <w:rFonts w:hint="eastAsia" w:ascii="宋体" w:hAnsi="宋体" w:eastAsia="宋体" w:cs="宋体"/>
                <w:color w:val="auto"/>
                <w:sz w:val="22"/>
                <w:szCs w:val="22"/>
                <w:highlight w:val="none"/>
                <w:u w:val="none"/>
              </w:rPr>
              <w:t>③项目其余特征内容在上述证明材料中未明确的</w:t>
            </w:r>
            <w:r>
              <w:rPr>
                <w:rFonts w:hint="eastAsia" w:ascii="宋体" w:hAnsi="宋体" w:eastAsia="宋体" w:cs="宋体"/>
                <w:color w:val="auto"/>
                <w:sz w:val="22"/>
                <w:szCs w:val="22"/>
                <w:highlight w:val="none"/>
                <w:u w:val="none"/>
                <w:lang w:val="en-US" w:eastAsia="zh-CN"/>
              </w:rPr>
              <w:t>（如综合类项目合同中无法体现无线室分的合同金额的），</w:t>
            </w:r>
            <w:r>
              <w:rPr>
                <w:rFonts w:hint="eastAsia" w:ascii="宋体" w:hAnsi="宋体" w:eastAsia="宋体" w:cs="宋体"/>
                <w:color w:val="auto"/>
                <w:sz w:val="22"/>
                <w:szCs w:val="22"/>
                <w:highlight w:val="none"/>
                <w:u w:val="none"/>
              </w:rPr>
              <w:t>提供建设（代建）单位的证明材料，需加盖提供单位公章</w:t>
            </w:r>
            <w:r>
              <w:rPr>
                <w:rFonts w:hint="eastAsia" w:ascii="宋体" w:hAnsi="宋体" w:eastAsia="宋体" w:cs="宋体"/>
                <w:color w:val="auto"/>
                <w:sz w:val="22"/>
                <w:szCs w:val="22"/>
                <w:highlight w:val="none"/>
                <w:u w:val="none"/>
                <w:lang w:eastAsia="zh-CN"/>
              </w:rPr>
              <w:t>。</w:t>
            </w:r>
          </w:p>
          <w:p w14:paraId="4C14F2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firstLine="440" w:firstLineChars="200"/>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color w:val="auto"/>
                <w:sz w:val="22"/>
                <w:szCs w:val="22"/>
                <w:highlight w:val="none"/>
                <w:u w:val="none"/>
                <w:lang w:val="en-US" w:eastAsia="zh-CN"/>
              </w:rPr>
              <w:fldChar w:fldCharType="begin"/>
            </w:r>
            <w:r>
              <w:rPr>
                <w:rFonts w:hint="eastAsia" w:ascii="宋体" w:hAnsi="宋体" w:eastAsia="宋体" w:cs="宋体"/>
                <w:color w:val="auto"/>
                <w:sz w:val="22"/>
                <w:szCs w:val="22"/>
                <w:highlight w:val="none"/>
                <w:u w:val="none"/>
                <w:lang w:val="en-US" w:eastAsia="zh-CN"/>
              </w:rPr>
              <w:instrText xml:space="preserve"> = 4 \* GB3 \* MERGEFORMAT </w:instrText>
            </w:r>
            <w:r>
              <w:rPr>
                <w:rFonts w:hint="eastAsia" w:ascii="宋体" w:hAnsi="宋体" w:eastAsia="宋体" w:cs="宋体"/>
                <w:color w:val="auto"/>
                <w:sz w:val="22"/>
                <w:szCs w:val="22"/>
                <w:highlight w:val="none"/>
                <w:u w:val="none"/>
                <w:lang w:val="en-US" w:eastAsia="zh-CN"/>
              </w:rPr>
              <w:fldChar w:fldCharType="separate"/>
            </w:r>
            <w:r>
              <w:rPr>
                <w:rFonts w:hint="eastAsia" w:ascii="宋体" w:hAnsi="宋体" w:eastAsia="宋体" w:cs="宋体"/>
                <w:color w:val="auto"/>
                <w:sz w:val="22"/>
                <w:szCs w:val="22"/>
                <w:highlight w:val="none"/>
                <w:u w:val="none"/>
              </w:rPr>
              <w:t>④</w:t>
            </w:r>
            <w:r>
              <w:rPr>
                <w:rFonts w:hint="eastAsia" w:ascii="宋体" w:hAnsi="宋体" w:eastAsia="宋体" w:cs="宋体"/>
                <w:color w:val="auto"/>
                <w:sz w:val="22"/>
                <w:szCs w:val="22"/>
                <w:highlight w:val="none"/>
                <w:u w:val="none"/>
                <w:lang w:val="en-US" w:eastAsia="zh-CN"/>
              </w:rPr>
              <w:fldChar w:fldCharType="end"/>
            </w:r>
            <w:r>
              <w:rPr>
                <w:rFonts w:hint="eastAsia" w:ascii="宋体" w:hAnsi="宋体" w:eastAsia="宋体" w:cs="宋体"/>
                <w:b w:val="0"/>
                <w:bCs w:val="0"/>
                <w:color w:val="auto"/>
                <w:spacing w:val="0"/>
                <w:sz w:val="22"/>
                <w:szCs w:val="22"/>
                <w:highlight w:val="none"/>
                <w:u w:val="none"/>
                <w:lang w:val="en-US" w:eastAsia="zh-CN"/>
              </w:rPr>
              <w:t>投标资格证明中的业绩满足评分项可以作为本项计分业绩。</w:t>
            </w:r>
          </w:p>
        </w:tc>
        <w:tc>
          <w:tcPr>
            <w:tcW w:w="525" w:type="pc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7755C0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3</w:t>
            </w:r>
          </w:p>
        </w:tc>
      </w:tr>
      <w:tr w14:paraId="7AD47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0" w:hRule="atLeast"/>
          <w:jc w:val="center"/>
        </w:trPr>
        <w:tc>
          <w:tcPr>
            <w:tcW w:w="253" w:type="pct"/>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5E4499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3</w:t>
            </w:r>
          </w:p>
        </w:tc>
        <w:tc>
          <w:tcPr>
            <w:tcW w:w="599" w:type="pct"/>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7CD59406">
            <w:pPr>
              <w:pStyle w:val="8"/>
              <w:keepNext w:val="0"/>
              <w:keepLines w:val="0"/>
              <w:pageBreakBefore w:val="0"/>
              <w:widowControl w:val="0"/>
              <w:suppressLineNumbers w:val="0"/>
              <w:kinsoku/>
              <w:wordWrap/>
              <w:overflowPunct/>
              <w:topLinePunct w:val="0"/>
              <w:autoSpaceDE/>
              <w:bidi w:val="0"/>
              <w:adjustRightInd w:val="0"/>
              <w:snapToGrid w:val="0"/>
              <w:spacing w:before="0" w:beforeAutospacing="0" w:after="0" w:afterAutospacing="0" w:line="312" w:lineRule="auto"/>
              <w:ind w:left="0" w:leftChars="0" w:right="0"/>
              <w:jc w:val="center"/>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项目负责人</w:t>
            </w:r>
          </w:p>
        </w:tc>
        <w:tc>
          <w:tcPr>
            <w:tcW w:w="3621" w:type="pc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top"/>
          </w:tcPr>
          <w:p w14:paraId="36D0B95D">
            <w:pPr>
              <w:keepNext w:val="0"/>
              <w:keepLines w:val="0"/>
              <w:pageBreakBefore w:val="0"/>
              <w:widowControl w:val="0"/>
              <w:suppressLineNumbers w:val="0"/>
              <w:kinsoku/>
              <w:wordWrap/>
              <w:overflowPunct/>
              <w:topLinePunct w:val="0"/>
              <w:autoSpaceDE/>
              <w:bidi w:val="0"/>
              <w:snapToGrid w:val="0"/>
              <w:spacing w:before="0" w:beforeAutospacing="0" w:after="0" w:afterAutospacing="0" w:line="312" w:lineRule="auto"/>
              <w:ind w:left="0" w:right="0" w:firstLine="440" w:firstLineChars="200"/>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拟派的项目负责人具有通信与广电工程一级建造师执业资格，同时具有对应有效的项目负责人安全生产考核合格证书的，得1分。</w:t>
            </w:r>
          </w:p>
          <w:p w14:paraId="457951F6">
            <w:pPr>
              <w:keepNext w:val="0"/>
              <w:keepLines w:val="0"/>
              <w:pageBreakBefore w:val="0"/>
              <w:widowControl w:val="0"/>
              <w:suppressLineNumbers w:val="0"/>
              <w:kinsoku/>
              <w:wordWrap/>
              <w:overflowPunct/>
              <w:topLinePunct w:val="0"/>
              <w:autoSpaceDE/>
              <w:bidi w:val="0"/>
              <w:snapToGrid w:val="0"/>
              <w:spacing w:before="0" w:beforeAutospacing="0" w:after="0" w:afterAutospacing="0" w:line="312" w:lineRule="auto"/>
              <w:ind w:left="0" w:right="0" w:firstLine="440" w:firstLineChars="200"/>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拟派的项目负责人具有通信与广电工程相关专业中级职称的，得1分；具有通信与广电工程相关专业高级职称的，得2分。</w:t>
            </w:r>
          </w:p>
          <w:p w14:paraId="42B295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firstLine="440" w:firstLineChars="200"/>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注：①投标文件中需提供相关证书复印件并加盖投标人公章；</w:t>
            </w:r>
          </w:p>
          <w:p w14:paraId="6ACA69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firstLine="440" w:firstLineChars="200"/>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②拟派项目负责人须为企业的在职职工（在职职工不包括离、退休返聘人员），需提供缴费期限包含2026年4月至2026年6月的投标人所属社保机构养老保险缴纳清单或证明（缴费单位和投标人名称必须一致，并加盖社保缴费证明专用章,非独立法人的分公司社保证明有效），以投标人所属社保机构出具的盖有社保部门专用章（或电子专用章）的社保证明件为准。若上述负责人为事业编制的，以提供缴费期限包含2026年4月至2026年6月由人事代理中心或类似证明机构出具的社保证明（需加盖人事代理中心证明专用章）。</w:t>
            </w:r>
          </w:p>
          <w:p w14:paraId="444C36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firstLine="440" w:firstLineChars="200"/>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③一级注册建造师需提供电子注册证书的应符合《住房和城乡建设部办公厅关于全面实行一级建造师电子注册证书的通知》（建办市〔2021〕40号）文，须在个人签名处手写本人签名，未手写签名或与签名图像笔迹不一致的，该电子证书无效。</w:t>
            </w:r>
          </w:p>
        </w:tc>
        <w:tc>
          <w:tcPr>
            <w:tcW w:w="525" w:type="pc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6B83A2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3</w:t>
            </w:r>
          </w:p>
        </w:tc>
      </w:tr>
      <w:tr w14:paraId="415AE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53" w:type="pct"/>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0DDE12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4</w:t>
            </w:r>
          </w:p>
        </w:tc>
        <w:tc>
          <w:tcPr>
            <w:tcW w:w="599" w:type="pct"/>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716C7E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left"/>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rPr>
              <w:t>投标技术指标的符合性、优越性</w:t>
            </w:r>
          </w:p>
        </w:tc>
        <w:tc>
          <w:tcPr>
            <w:tcW w:w="3621" w:type="pc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01F071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firstLine="440" w:firstLineChars="200"/>
              <w:jc w:val="left"/>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根据所投产品的详细技术参数进行打分。满足需求指标和商务要求的得15分。指标每负偏离或不响应一项扣1分；扣完为止。</w:t>
            </w:r>
          </w:p>
          <w:p w14:paraId="434C38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firstLine="440" w:firstLineChars="200"/>
              <w:jc w:val="left"/>
              <w:textAlignment w:val="auto"/>
              <w:rPr>
                <w:rFonts w:hint="eastAsia" w:ascii="宋体" w:hAnsi="宋体" w:eastAsia="宋体" w:cs="宋体"/>
                <w:b w:val="0"/>
                <w:bCs w:val="0"/>
                <w:color w:val="auto"/>
                <w:spacing w:val="0"/>
                <w:kern w:val="2"/>
                <w:sz w:val="22"/>
                <w:szCs w:val="22"/>
                <w:highlight w:val="none"/>
                <w:lang w:val="en-US" w:eastAsia="zh-CN" w:bidi="ar-SA"/>
              </w:rPr>
            </w:pPr>
            <w:r>
              <w:rPr>
                <w:rFonts w:hint="eastAsia" w:ascii="宋体" w:hAnsi="宋体" w:eastAsia="宋体" w:cs="宋体"/>
                <w:b w:val="0"/>
                <w:bCs w:val="0"/>
                <w:color w:val="auto"/>
                <w:spacing w:val="0"/>
                <w:sz w:val="22"/>
                <w:szCs w:val="22"/>
                <w:highlight w:val="none"/>
                <w:lang w:val="en-US" w:eastAsia="zh-CN"/>
              </w:rPr>
              <w:t>注：投标文件需提供技术要求中要求提供的相关佐证材料。</w:t>
            </w:r>
          </w:p>
        </w:tc>
        <w:tc>
          <w:tcPr>
            <w:tcW w:w="525" w:type="pc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51250EF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15</w:t>
            </w:r>
          </w:p>
        </w:tc>
      </w:tr>
      <w:tr w14:paraId="2B14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53" w:type="pct"/>
            <w:vMerge w:val="restart"/>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0969D3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5</w:t>
            </w:r>
          </w:p>
        </w:tc>
        <w:tc>
          <w:tcPr>
            <w:tcW w:w="599" w:type="pct"/>
            <w:vMerge w:val="restart"/>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333C64A9">
            <w:pPr>
              <w:pStyle w:val="8"/>
              <w:keepNext w:val="0"/>
              <w:keepLines w:val="0"/>
              <w:pageBreakBefore w:val="0"/>
              <w:widowControl w:val="0"/>
              <w:suppressLineNumbers w:val="0"/>
              <w:kinsoku/>
              <w:wordWrap/>
              <w:overflowPunct/>
              <w:topLinePunct w:val="0"/>
              <w:autoSpaceDE/>
              <w:bidi w:val="0"/>
              <w:adjustRightInd w:val="0"/>
              <w:snapToGrid w:val="0"/>
              <w:spacing w:before="0" w:beforeAutospacing="0" w:after="0" w:afterAutospacing="0" w:line="312" w:lineRule="auto"/>
              <w:ind w:left="0" w:leftChars="0" w:right="0"/>
              <w:jc w:val="center"/>
              <w:rPr>
                <w:rFonts w:hint="eastAsia" w:ascii="宋体" w:hAnsi="宋体" w:eastAsia="宋体" w:cs="宋体"/>
                <w:color w:val="auto"/>
                <w:spacing w:val="0"/>
                <w:kern w:val="2"/>
                <w:sz w:val="22"/>
                <w:szCs w:val="22"/>
                <w:highlight w:val="none"/>
                <w:vertAlign w:val="baseline"/>
                <w:lang w:val="en-US" w:eastAsia="zh-CN" w:bidi="ar-SA"/>
              </w:rPr>
            </w:pPr>
            <w:r>
              <w:rPr>
                <w:rFonts w:hint="eastAsia" w:ascii="宋体" w:hAnsi="宋体" w:eastAsia="宋体" w:cs="宋体"/>
                <w:color w:val="auto"/>
                <w:kern w:val="0"/>
                <w:sz w:val="22"/>
                <w:szCs w:val="22"/>
                <w:highlight w:val="none"/>
                <w:lang w:eastAsia="zh-CN"/>
              </w:rPr>
              <w:t>覆盖点位提升方案</w:t>
            </w:r>
          </w:p>
        </w:tc>
        <w:tc>
          <w:tcPr>
            <w:tcW w:w="4147" w:type="pct"/>
            <w:gridSpan w:val="2"/>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top"/>
          </w:tcPr>
          <w:p w14:paraId="2D2391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firstLine="440" w:firstLineChars="200"/>
              <w:jc w:val="left"/>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根据现有设计图纸，编制点位提升方案，要求点位密度符合医院场景需求，同时提高核心设备安装总量、加强信号覆盖、提高信号稳定性、传输速率。总分16分，由专家综合评审打分。提供如提升说明、点位分布图、仿真覆盖报告等佐证材料。</w:t>
            </w:r>
          </w:p>
        </w:tc>
      </w:tr>
      <w:tr w14:paraId="55015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53" w:type="pct"/>
            <w:vMerge w:val="continue"/>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676AB2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p>
        </w:tc>
        <w:tc>
          <w:tcPr>
            <w:tcW w:w="599" w:type="pct"/>
            <w:vMerge w:val="continue"/>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7FA6C3D8">
            <w:pPr>
              <w:pStyle w:val="8"/>
              <w:keepNext w:val="0"/>
              <w:keepLines w:val="0"/>
              <w:pageBreakBefore w:val="0"/>
              <w:widowControl w:val="0"/>
              <w:suppressLineNumbers w:val="0"/>
              <w:kinsoku/>
              <w:wordWrap/>
              <w:overflowPunct/>
              <w:topLinePunct w:val="0"/>
              <w:autoSpaceDE/>
              <w:bidi w:val="0"/>
              <w:adjustRightInd w:val="0"/>
              <w:snapToGrid w:val="0"/>
              <w:spacing w:before="0" w:beforeAutospacing="0" w:after="0" w:afterAutospacing="0" w:line="312" w:lineRule="auto"/>
              <w:ind w:left="0" w:leftChars="0" w:right="0"/>
              <w:jc w:val="center"/>
              <w:rPr>
                <w:rFonts w:hint="eastAsia" w:ascii="宋体" w:hAnsi="宋体" w:eastAsia="宋体" w:cs="宋体"/>
                <w:color w:val="auto"/>
                <w:kern w:val="0"/>
                <w:sz w:val="22"/>
                <w:szCs w:val="22"/>
                <w:highlight w:val="none"/>
                <w:lang w:eastAsia="zh-CN"/>
              </w:rPr>
            </w:pPr>
          </w:p>
        </w:tc>
        <w:tc>
          <w:tcPr>
            <w:tcW w:w="3621" w:type="pc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top"/>
          </w:tcPr>
          <w:p w14:paraId="2F8C3AB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firstLine="440" w:firstLineChars="200"/>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（1）重点区域大厅覆盖密度的提升方案，比如错层改成单层等，优得（5-6）分，良好得（3-4.9）分，一般得（1-2.9）分，未提供不得分。</w:t>
            </w:r>
          </w:p>
        </w:tc>
        <w:tc>
          <w:tcPr>
            <w:tcW w:w="525" w:type="pc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19741E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6</w:t>
            </w:r>
          </w:p>
        </w:tc>
      </w:tr>
      <w:tr w14:paraId="65ECB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0" w:hRule="atLeast"/>
          <w:jc w:val="center"/>
        </w:trPr>
        <w:tc>
          <w:tcPr>
            <w:tcW w:w="253" w:type="pct"/>
            <w:vMerge w:val="continue"/>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12FBCE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p>
        </w:tc>
        <w:tc>
          <w:tcPr>
            <w:tcW w:w="599" w:type="pct"/>
            <w:vMerge w:val="continue"/>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079B292C">
            <w:pPr>
              <w:pStyle w:val="8"/>
              <w:keepNext w:val="0"/>
              <w:keepLines w:val="0"/>
              <w:pageBreakBefore w:val="0"/>
              <w:widowControl w:val="0"/>
              <w:suppressLineNumbers w:val="0"/>
              <w:kinsoku/>
              <w:wordWrap/>
              <w:overflowPunct/>
              <w:topLinePunct w:val="0"/>
              <w:autoSpaceDE/>
              <w:bidi w:val="0"/>
              <w:adjustRightInd w:val="0"/>
              <w:snapToGrid w:val="0"/>
              <w:spacing w:before="0" w:beforeAutospacing="0" w:after="0" w:afterAutospacing="0" w:line="312" w:lineRule="auto"/>
              <w:ind w:left="0" w:leftChars="0" w:right="0"/>
              <w:jc w:val="center"/>
              <w:rPr>
                <w:rFonts w:hint="eastAsia" w:ascii="宋体" w:hAnsi="宋体" w:eastAsia="宋体" w:cs="宋体"/>
                <w:color w:val="auto"/>
                <w:kern w:val="0"/>
                <w:sz w:val="22"/>
                <w:szCs w:val="22"/>
                <w:highlight w:val="none"/>
                <w:lang w:eastAsia="zh-CN"/>
              </w:rPr>
            </w:pPr>
          </w:p>
        </w:tc>
        <w:tc>
          <w:tcPr>
            <w:tcW w:w="3621" w:type="pc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top"/>
          </w:tcPr>
          <w:p w14:paraId="343A02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firstLine="440" w:firstLineChars="200"/>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（2）重点区域包括手术室、候诊区等覆盖密度的提升；优得（5-6）分，良好得（3-4.9）分，一般得（1-2.9）分，未提供不得分。</w:t>
            </w:r>
          </w:p>
        </w:tc>
        <w:tc>
          <w:tcPr>
            <w:tcW w:w="525" w:type="pc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4DB788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6</w:t>
            </w:r>
          </w:p>
        </w:tc>
      </w:tr>
      <w:tr w14:paraId="3E2AF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53" w:type="pct"/>
            <w:vMerge w:val="continue"/>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5ECC7C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p>
        </w:tc>
        <w:tc>
          <w:tcPr>
            <w:tcW w:w="599" w:type="pct"/>
            <w:vMerge w:val="continue"/>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595D7837">
            <w:pPr>
              <w:pStyle w:val="8"/>
              <w:keepNext w:val="0"/>
              <w:keepLines w:val="0"/>
              <w:pageBreakBefore w:val="0"/>
              <w:widowControl w:val="0"/>
              <w:suppressLineNumbers w:val="0"/>
              <w:kinsoku/>
              <w:wordWrap/>
              <w:overflowPunct/>
              <w:topLinePunct w:val="0"/>
              <w:autoSpaceDE/>
              <w:bidi w:val="0"/>
              <w:adjustRightInd w:val="0"/>
              <w:snapToGrid w:val="0"/>
              <w:spacing w:before="0" w:beforeAutospacing="0" w:after="0" w:afterAutospacing="0" w:line="312" w:lineRule="auto"/>
              <w:ind w:left="0" w:leftChars="0" w:right="0"/>
              <w:jc w:val="center"/>
              <w:rPr>
                <w:rFonts w:hint="eastAsia" w:ascii="宋体" w:hAnsi="宋体" w:eastAsia="宋体" w:cs="宋体"/>
                <w:color w:val="auto"/>
                <w:kern w:val="0"/>
                <w:sz w:val="22"/>
                <w:szCs w:val="22"/>
                <w:highlight w:val="none"/>
                <w:lang w:eastAsia="zh-CN"/>
              </w:rPr>
            </w:pPr>
          </w:p>
        </w:tc>
        <w:tc>
          <w:tcPr>
            <w:tcW w:w="3621" w:type="pc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top"/>
          </w:tcPr>
          <w:p w14:paraId="331FDF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firstLine="440" w:firstLineChars="200"/>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（3）对防辐射区域、240mm混凝土墙隔断等区域增加补偿点位，考虑医疗设备干扰因素等；优得（3-4）分，良好得（2-2.9）分，一般得（1-1.9）分，未提供不得分。</w:t>
            </w:r>
          </w:p>
        </w:tc>
        <w:tc>
          <w:tcPr>
            <w:tcW w:w="525" w:type="pc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4C2FC1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4</w:t>
            </w:r>
          </w:p>
        </w:tc>
      </w:tr>
      <w:tr w14:paraId="6E4EA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0" w:hRule="atLeast"/>
          <w:jc w:val="center"/>
        </w:trPr>
        <w:tc>
          <w:tcPr>
            <w:tcW w:w="253" w:type="pct"/>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6BE7CB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6</w:t>
            </w:r>
          </w:p>
        </w:tc>
        <w:tc>
          <w:tcPr>
            <w:tcW w:w="599" w:type="pct"/>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17A3AE70">
            <w:pPr>
              <w:pStyle w:val="8"/>
              <w:keepNext w:val="0"/>
              <w:keepLines w:val="0"/>
              <w:pageBreakBefore w:val="0"/>
              <w:widowControl w:val="0"/>
              <w:suppressLineNumbers w:val="0"/>
              <w:kinsoku/>
              <w:wordWrap/>
              <w:overflowPunct/>
              <w:topLinePunct w:val="0"/>
              <w:autoSpaceDE/>
              <w:bidi w:val="0"/>
              <w:adjustRightInd w:val="0"/>
              <w:snapToGrid w:val="0"/>
              <w:spacing w:before="0" w:beforeAutospacing="0" w:after="0" w:afterAutospacing="0" w:line="312" w:lineRule="auto"/>
              <w:ind w:left="0" w:leftChars="0" w:right="0"/>
              <w:jc w:val="center"/>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eastAsia="zh-CN"/>
              </w:rPr>
              <w:t>容量提升（</w:t>
            </w:r>
            <w:r>
              <w:rPr>
                <w:rFonts w:hint="eastAsia" w:ascii="宋体" w:hAnsi="宋体" w:eastAsia="宋体" w:cs="宋体"/>
                <w:color w:val="auto"/>
                <w:kern w:val="0"/>
                <w:sz w:val="22"/>
                <w:szCs w:val="22"/>
                <w:highlight w:val="none"/>
                <w:lang w:val="en-US" w:eastAsia="zh-CN"/>
              </w:rPr>
              <w:t>高峰时段冗余量</w:t>
            </w:r>
            <w:r>
              <w:rPr>
                <w:rFonts w:hint="eastAsia" w:ascii="宋体" w:hAnsi="宋体" w:eastAsia="宋体" w:cs="宋体"/>
                <w:color w:val="auto"/>
                <w:kern w:val="0"/>
                <w:sz w:val="22"/>
                <w:szCs w:val="22"/>
                <w:highlight w:val="none"/>
                <w:lang w:eastAsia="zh-CN"/>
              </w:rPr>
              <w:t>）方案</w:t>
            </w:r>
          </w:p>
        </w:tc>
        <w:tc>
          <w:tcPr>
            <w:tcW w:w="3621" w:type="pc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top"/>
          </w:tcPr>
          <w:p w14:paraId="4FA5FF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firstLine="440" w:firstLineChars="200"/>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根据现有设计图纸，编制人流量密集区域容量的提升方案：包括大厅、候诊区等，重点需突出高峰时段冗余量，由专家综合评审打分。优得（5-6）分，良好得（3-4.9）分，一般得（1-2.9）分，未提供不得分。</w:t>
            </w:r>
          </w:p>
          <w:p w14:paraId="3783C0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firstLine="440" w:firstLineChars="200"/>
              <w:textAlignment w:val="auto"/>
              <w:rPr>
                <w:rFonts w:hint="eastAsia" w:ascii="宋体" w:hAnsi="宋体" w:eastAsia="宋体" w:cs="宋体"/>
                <w:b w:val="0"/>
                <w:bCs w:val="0"/>
                <w:color w:val="auto"/>
                <w:spacing w:val="0"/>
                <w:kern w:val="2"/>
                <w:sz w:val="22"/>
                <w:szCs w:val="22"/>
                <w:highlight w:val="none"/>
                <w:lang w:val="en-US" w:eastAsia="zh-CN" w:bidi="ar-SA"/>
              </w:rPr>
            </w:pPr>
            <w:r>
              <w:rPr>
                <w:rFonts w:hint="eastAsia" w:ascii="宋体" w:hAnsi="宋体" w:eastAsia="宋体" w:cs="宋体"/>
                <w:b w:val="0"/>
                <w:bCs w:val="0"/>
                <w:color w:val="auto"/>
                <w:spacing w:val="0"/>
                <w:sz w:val="22"/>
                <w:szCs w:val="22"/>
                <w:highlight w:val="none"/>
                <w:lang w:val="en-US" w:eastAsia="zh-CN"/>
              </w:rPr>
              <w:t>提供提升说明、容量计算说明等佐证材料。</w:t>
            </w:r>
          </w:p>
        </w:tc>
        <w:tc>
          <w:tcPr>
            <w:tcW w:w="525" w:type="pc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059E5C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6</w:t>
            </w:r>
          </w:p>
        </w:tc>
      </w:tr>
      <w:tr w14:paraId="5F0AE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0" w:hRule="atLeast"/>
          <w:jc w:val="center"/>
        </w:trPr>
        <w:tc>
          <w:tcPr>
            <w:tcW w:w="253" w:type="pct"/>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45C482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7</w:t>
            </w:r>
          </w:p>
        </w:tc>
        <w:tc>
          <w:tcPr>
            <w:tcW w:w="599" w:type="pct"/>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62D86B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right="0"/>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信源接入保障方案</w:t>
            </w:r>
          </w:p>
        </w:tc>
        <w:tc>
          <w:tcPr>
            <w:tcW w:w="3621" w:type="pc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top"/>
          </w:tcPr>
          <w:p w14:paraId="0CA28F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firstLine="440" w:firstLineChars="200"/>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根据投标人与各运营商的合作协调方案，是否有利于本项目的实施等内容评审，提供接入意向相关证明文件。优得（3-4）分，良好得（2-2.9）分，一般得（1-1.9）分，未提供不得分。</w:t>
            </w:r>
          </w:p>
        </w:tc>
        <w:tc>
          <w:tcPr>
            <w:tcW w:w="525" w:type="pc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3857E6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4</w:t>
            </w:r>
          </w:p>
        </w:tc>
      </w:tr>
      <w:tr w14:paraId="5970F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53" w:type="pct"/>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7B0210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kern w:val="2"/>
                <w:sz w:val="22"/>
                <w:szCs w:val="22"/>
                <w:highlight w:val="none"/>
                <w:lang w:val="en-US" w:eastAsia="zh-CN" w:bidi="ar-SA"/>
              </w:rPr>
            </w:pPr>
            <w:r>
              <w:rPr>
                <w:rFonts w:hint="eastAsia" w:ascii="宋体" w:hAnsi="宋体" w:eastAsia="宋体" w:cs="宋体"/>
                <w:b w:val="0"/>
                <w:bCs w:val="0"/>
                <w:color w:val="auto"/>
                <w:spacing w:val="0"/>
                <w:sz w:val="22"/>
                <w:szCs w:val="22"/>
                <w:highlight w:val="none"/>
                <w:lang w:val="en-US" w:eastAsia="zh-CN"/>
              </w:rPr>
              <w:t>8</w:t>
            </w:r>
          </w:p>
        </w:tc>
        <w:tc>
          <w:tcPr>
            <w:tcW w:w="599" w:type="pct"/>
            <w:vMerge w:val="restart"/>
            <w:tcBorders>
              <w:left w:val="single" w:color="auto" w:sz="4" w:space="0"/>
              <w:right w:val="single" w:color="auto" w:sz="4" w:space="0"/>
            </w:tcBorders>
            <w:shd w:val="clear" w:color="auto" w:fill="FFFFFF"/>
            <w:noWrap w:val="0"/>
            <w:tcMar>
              <w:top w:w="0" w:type="dxa"/>
              <w:left w:w="108" w:type="dxa"/>
              <w:bottom w:w="0" w:type="dxa"/>
              <w:right w:w="108" w:type="dxa"/>
            </w:tcMar>
            <w:vAlign w:val="center"/>
          </w:tcPr>
          <w:p w14:paraId="6C43B1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left"/>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rPr>
              <w:t>项目实施方案计划及技术措施</w:t>
            </w:r>
          </w:p>
        </w:tc>
        <w:tc>
          <w:tcPr>
            <w:tcW w:w="3621" w:type="pc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top"/>
          </w:tcPr>
          <w:p w14:paraId="4B6A23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textAlignment w:val="auto"/>
              <w:rPr>
                <w:rFonts w:hint="eastAsia" w:ascii="宋体" w:hAnsi="宋体" w:eastAsia="宋体" w:cs="宋体"/>
                <w:b w:val="0"/>
                <w:bCs w:val="0"/>
                <w:color w:val="auto"/>
                <w:spacing w:val="0"/>
                <w:kern w:val="2"/>
                <w:sz w:val="22"/>
                <w:szCs w:val="22"/>
                <w:highlight w:val="none"/>
                <w:lang w:val="en-US" w:eastAsia="zh-CN" w:bidi="ar-SA"/>
              </w:rPr>
            </w:pPr>
            <w:r>
              <w:rPr>
                <w:rFonts w:hint="eastAsia" w:ascii="宋体" w:hAnsi="宋体" w:eastAsia="宋体" w:cs="宋体"/>
                <w:b w:val="0"/>
                <w:bCs w:val="0"/>
                <w:color w:val="auto"/>
                <w:spacing w:val="0"/>
                <w:sz w:val="22"/>
                <w:szCs w:val="22"/>
                <w:highlight w:val="none"/>
                <w:lang w:val="en-US" w:eastAsia="zh-CN"/>
              </w:rPr>
              <w:t>根据投标人提供的施工方案内容完整，编制规范统一、齐全，施工方案和技术措施科学、合理，有针对性</w:t>
            </w:r>
            <w:r>
              <w:rPr>
                <w:rFonts w:hint="eastAsia" w:ascii="宋体" w:hAnsi="宋体" w:eastAsia="宋体" w:cs="宋体"/>
                <w:b/>
                <w:bCs/>
                <w:color w:val="auto"/>
                <w:spacing w:val="0"/>
                <w:sz w:val="22"/>
                <w:szCs w:val="22"/>
                <w:highlight w:val="none"/>
                <w:lang w:val="en-US" w:eastAsia="zh-CN"/>
              </w:rPr>
              <w:t>（</w:t>
            </w:r>
            <w:r>
              <w:rPr>
                <w:rFonts w:hint="eastAsia" w:ascii="宋体" w:hAnsi="宋体" w:eastAsia="宋体" w:cs="宋体"/>
                <w:b/>
                <w:bCs/>
                <w:color w:val="auto"/>
                <w:spacing w:val="0"/>
                <w:sz w:val="22"/>
                <w:szCs w:val="22"/>
                <w:highlight w:val="none"/>
                <w:lang w:eastAsia="zh-CN"/>
              </w:rPr>
              <w:t>必须</w:t>
            </w:r>
            <w:r>
              <w:rPr>
                <w:rFonts w:hint="eastAsia" w:ascii="宋体" w:hAnsi="宋体" w:eastAsia="宋体" w:cs="宋体"/>
                <w:b/>
                <w:bCs/>
                <w:color w:val="auto"/>
                <w:spacing w:val="0"/>
                <w:sz w:val="22"/>
                <w:szCs w:val="22"/>
                <w:highlight w:val="none"/>
                <w:lang w:val="en-US" w:eastAsia="zh-CN"/>
              </w:rPr>
              <w:t>分别对</w:t>
            </w:r>
            <w:r>
              <w:rPr>
                <w:rFonts w:hint="eastAsia" w:ascii="宋体" w:hAnsi="宋体" w:eastAsia="宋体" w:cs="宋体"/>
                <w:b/>
                <w:bCs/>
                <w:color w:val="auto"/>
                <w:spacing w:val="0"/>
                <w:sz w:val="22"/>
                <w:szCs w:val="22"/>
                <w:highlight w:val="none"/>
                <w:lang w:eastAsia="zh-CN"/>
              </w:rPr>
              <w:t>手术室、实验室和</w:t>
            </w:r>
            <w:r>
              <w:rPr>
                <w:rFonts w:hint="eastAsia" w:ascii="宋体" w:hAnsi="宋体" w:eastAsia="宋体" w:cs="宋体"/>
                <w:b/>
                <w:bCs/>
                <w:color w:val="auto"/>
                <w:spacing w:val="0"/>
                <w:sz w:val="22"/>
                <w:szCs w:val="22"/>
                <w:highlight w:val="none"/>
                <w:lang w:val="en-US" w:eastAsia="zh-CN"/>
              </w:rPr>
              <w:t>放射防护区域提供</w:t>
            </w:r>
            <w:r>
              <w:rPr>
                <w:rFonts w:hint="eastAsia" w:ascii="宋体" w:hAnsi="宋体" w:eastAsia="宋体" w:cs="宋体"/>
                <w:b/>
                <w:bCs/>
                <w:color w:val="auto"/>
                <w:spacing w:val="0"/>
                <w:sz w:val="22"/>
                <w:szCs w:val="22"/>
                <w:highlight w:val="none"/>
                <w:lang w:eastAsia="zh-CN"/>
              </w:rPr>
              <w:t>技术实施专篇，</w:t>
            </w:r>
            <w:r>
              <w:rPr>
                <w:rFonts w:hint="eastAsia" w:ascii="宋体" w:hAnsi="宋体" w:eastAsia="宋体" w:cs="宋体"/>
                <w:b/>
                <w:bCs/>
                <w:color w:val="auto"/>
                <w:spacing w:val="0"/>
                <w:sz w:val="22"/>
                <w:szCs w:val="22"/>
                <w:highlight w:val="none"/>
                <w:lang w:val="en-US" w:eastAsia="zh-CN"/>
              </w:rPr>
              <w:t>分别进行重难点的分析）</w:t>
            </w:r>
            <w:r>
              <w:rPr>
                <w:rFonts w:hint="eastAsia" w:ascii="宋体" w:hAnsi="宋体" w:eastAsia="宋体" w:cs="宋体"/>
                <w:b w:val="0"/>
                <w:bCs w:val="0"/>
                <w:color w:val="auto"/>
                <w:spacing w:val="0"/>
                <w:sz w:val="22"/>
                <w:szCs w:val="22"/>
                <w:highlight w:val="none"/>
                <w:lang w:val="en-US" w:eastAsia="zh-CN"/>
              </w:rPr>
              <w:t>，满足施工要求等内容进行综合评审。优得（5-6）分，良好得（3-4.9）分，一般得（1-2.9）分，未提供不得分。</w:t>
            </w:r>
          </w:p>
        </w:tc>
        <w:tc>
          <w:tcPr>
            <w:tcW w:w="525" w:type="pc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14:paraId="01ECE5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6</w:t>
            </w:r>
          </w:p>
        </w:tc>
      </w:tr>
      <w:tr w14:paraId="33A62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0" w:hRule="atLeast"/>
          <w:jc w:val="center"/>
        </w:trPr>
        <w:tc>
          <w:tcPr>
            <w:tcW w:w="253" w:type="pct"/>
            <w:shd w:val="clear" w:color="auto" w:fill="FFFFFF"/>
            <w:noWrap w:val="0"/>
            <w:vAlign w:val="center"/>
          </w:tcPr>
          <w:p w14:paraId="259425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kern w:val="2"/>
                <w:sz w:val="22"/>
                <w:szCs w:val="22"/>
                <w:highlight w:val="none"/>
                <w:lang w:val="en-US" w:eastAsia="zh-CN" w:bidi="ar-SA"/>
              </w:rPr>
            </w:pPr>
            <w:r>
              <w:rPr>
                <w:rFonts w:hint="eastAsia" w:ascii="宋体" w:hAnsi="宋体" w:eastAsia="宋体" w:cs="宋体"/>
                <w:b w:val="0"/>
                <w:bCs w:val="0"/>
                <w:color w:val="auto"/>
                <w:spacing w:val="0"/>
                <w:sz w:val="22"/>
                <w:szCs w:val="22"/>
                <w:highlight w:val="none"/>
                <w:lang w:val="en-US" w:eastAsia="zh-CN"/>
              </w:rPr>
              <w:t>9</w:t>
            </w:r>
          </w:p>
        </w:tc>
        <w:tc>
          <w:tcPr>
            <w:tcW w:w="599" w:type="pct"/>
            <w:vMerge w:val="continue"/>
            <w:tcBorders>
              <w:left w:val="single" w:color="auto" w:sz="4" w:space="0"/>
              <w:right w:val="single" w:color="auto" w:sz="4" w:space="0"/>
            </w:tcBorders>
            <w:shd w:val="clear" w:color="auto" w:fill="FFFFFF"/>
            <w:noWrap w:val="0"/>
            <w:vAlign w:val="top"/>
          </w:tcPr>
          <w:p w14:paraId="5CE5066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rPr>
            </w:pPr>
          </w:p>
        </w:tc>
        <w:tc>
          <w:tcPr>
            <w:tcW w:w="3621" w:type="pct"/>
            <w:shd w:val="clear" w:color="auto" w:fill="FFFFFF"/>
            <w:noWrap w:val="0"/>
            <w:vAlign w:val="top"/>
          </w:tcPr>
          <w:p w14:paraId="16EA56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textAlignment w:val="auto"/>
              <w:rPr>
                <w:rFonts w:hint="eastAsia" w:ascii="宋体" w:hAnsi="宋体" w:eastAsia="宋体" w:cs="宋体"/>
                <w:b w:val="0"/>
                <w:bCs w:val="0"/>
                <w:color w:val="auto"/>
                <w:spacing w:val="0"/>
                <w:kern w:val="2"/>
                <w:sz w:val="22"/>
                <w:szCs w:val="22"/>
                <w:highlight w:val="none"/>
                <w:lang w:val="en-US" w:eastAsia="zh-CN" w:bidi="ar-SA"/>
              </w:rPr>
            </w:pPr>
            <w:r>
              <w:rPr>
                <w:rFonts w:hint="eastAsia" w:ascii="宋体" w:hAnsi="宋体" w:eastAsia="宋体" w:cs="宋体"/>
                <w:b w:val="0"/>
                <w:bCs w:val="0"/>
                <w:color w:val="auto"/>
                <w:spacing w:val="0"/>
                <w:sz w:val="22"/>
                <w:szCs w:val="22"/>
                <w:highlight w:val="none"/>
                <w:lang w:val="en-US" w:eastAsia="zh-CN"/>
              </w:rPr>
              <w:t>根据投标人提供的施工进度安排合理，工期安排满足施工要求，施工中劳动力计划安排合理，拟投入的机械设备及材料安排科学、合理，有针对性，满足施工要求等内容进行综合评审。优得（2-3）分，良好得（1-1.9）分，一般得（0.5-0.9）分，未提供不得分。</w:t>
            </w:r>
          </w:p>
        </w:tc>
        <w:tc>
          <w:tcPr>
            <w:tcW w:w="525" w:type="pct"/>
            <w:shd w:val="clear" w:color="auto" w:fill="FFFFFF"/>
            <w:noWrap w:val="0"/>
            <w:vAlign w:val="center"/>
          </w:tcPr>
          <w:p w14:paraId="2872C4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3</w:t>
            </w:r>
          </w:p>
        </w:tc>
      </w:tr>
      <w:tr w14:paraId="5AAA5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0" w:hRule="atLeast"/>
          <w:jc w:val="center"/>
        </w:trPr>
        <w:tc>
          <w:tcPr>
            <w:tcW w:w="253" w:type="pct"/>
            <w:shd w:val="clear" w:color="auto" w:fill="FFFFFF"/>
            <w:noWrap w:val="0"/>
            <w:vAlign w:val="center"/>
          </w:tcPr>
          <w:p w14:paraId="22DF500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10</w:t>
            </w:r>
          </w:p>
        </w:tc>
        <w:tc>
          <w:tcPr>
            <w:tcW w:w="599" w:type="pct"/>
            <w:vMerge w:val="restart"/>
            <w:tcBorders>
              <w:left w:val="single" w:color="auto" w:sz="4" w:space="0"/>
              <w:right w:val="single" w:color="auto" w:sz="4" w:space="0"/>
            </w:tcBorders>
            <w:shd w:val="clear" w:color="auto" w:fill="FFFFFF"/>
            <w:noWrap w:val="0"/>
            <w:vAlign w:val="center"/>
          </w:tcPr>
          <w:p w14:paraId="2A61EB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rPr>
            </w:pPr>
            <w:r>
              <w:rPr>
                <w:rFonts w:hint="eastAsia" w:ascii="宋体" w:hAnsi="宋体" w:eastAsia="宋体" w:cs="宋体"/>
                <w:b w:val="0"/>
                <w:bCs w:val="0"/>
                <w:color w:val="auto"/>
                <w:spacing w:val="0"/>
                <w:sz w:val="22"/>
                <w:szCs w:val="22"/>
                <w:highlight w:val="none"/>
                <w:lang w:val="en-US" w:eastAsia="zh-CN"/>
              </w:rPr>
              <w:t>售后服务方案</w:t>
            </w:r>
          </w:p>
        </w:tc>
        <w:tc>
          <w:tcPr>
            <w:tcW w:w="3621" w:type="pct"/>
            <w:shd w:val="clear" w:color="auto" w:fill="FFFFFF"/>
            <w:noWrap w:val="0"/>
            <w:vAlign w:val="center"/>
          </w:tcPr>
          <w:p w14:paraId="023614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textAlignment w:val="auto"/>
              <w:rPr>
                <w:rFonts w:hint="eastAsia" w:ascii="宋体" w:hAnsi="宋体" w:eastAsia="宋体" w:cs="宋体"/>
                <w:b w:val="0"/>
                <w:bCs w:val="0"/>
                <w:color w:val="auto"/>
                <w:spacing w:val="0"/>
                <w:sz w:val="22"/>
                <w:szCs w:val="22"/>
                <w:highlight w:val="none"/>
                <w:lang w:eastAsia="zh-CN"/>
              </w:rPr>
            </w:pPr>
            <w:r>
              <w:rPr>
                <w:rFonts w:hint="eastAsia" w:ascii="宋体" w:hAnsi="宋体" w:eastAsia="宋体" w:cs="宋体"/>
                <w:b w:val="0"/>
                <w:bCs w:val="0"/>
                <w:color w:val="auto"/>
                <w:spacing w:val="0"/>
                <w:sz w:val="22"/>
                <w:szCs w:val="22"/>
                <w:highlight w:val="none"/>
                <w:lang w:eastAsia="zh-CN"/>
              </w:rPr>
              <w:t>投标人提供的售后服务方案、维护人员等情况，是否满足招标人的要求，质保期内的服务承诺的可行性、完整性以及服务承诺的保障措施；对服务承诺的保障措施，运行维护人员安排是否合理等，进行综合比较评分。</w:t>
            </w:r>
            <w:r>
              <w:rPr>
                <w:rFonts w:hint="eastAsia" w:ascii="宋体" w:hAnsi="宋体" w:eastAsia="宋体" w:cs="宋体"/>
                <w:b w:val="0"/>
                <w:bCs w:val="0"/>
                <w:color w:val="auto"/>
                <w:spacing w:val="0"/>
                <w:sz w:val="22"/>
                <w:szCs w:val="22"/>
                <w:highlight w:val="none"/>
                <w:lang w:val="en-US" w:eastAsia="zh-CN"/>
              </w:rPr>
              <w:t>优得（2-3）分，良好得（1-1.9）分，一般得（0.5-0.9）分，未提供不得分。</w:t>
            </w:r>
          </w:p>
        </w:tc>
        <w:tc>
          <w:tcPr>
            <w:tcW w:w="525" w:type="pct"/>
            <w:shd w:val="clear" w:color="auto" w:fill="FFFFFF"/>
            <w:noWrap w:val="0"/>
            <w:vAlign w:val="center"/>
          </w:tcPr>
          <w:p w14:paraId="01B62E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3</w:t>
            </w:r>
          </w:p>
        </w:tc>
      </w:tr>
      <w:tr w14:paraId="0B3A3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0" w:hRule="atLeast"/>
          <w:jc w:val="center"/>
        </w:trPr>
        <w:tc>
          <w:tcPr>
            <w:tcW w:w="253" w:type="pct"/>
            <w:shd w:val="clear" w:color="auto" w:fill="FFFFFF"/>
            <w:noWrap w:val="0"/>
            <w:vAlign w:val="center"/>
          </w:tcPr>
          <w:p w14:paraId="0A5A95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11</w:t>
            </w:r>
          </w:p>
        </w:tc>
        <w:tc>
          <w:tcPr>
            <w:tcW w:w="599" w:type="pct"/>
            <w:vMerge w:val="continue"/>
            <w:tcBorders>
              <w:left w:val="single" w:color="auto" w:sz="4" w:space="0"/>
              <w:right w:val="single" w:color="auto" w:sz="4" w:space="0"/>
            </w:tcBorders>
            <w:shd w:val="clear" w:color="auto" w:fill="FFFFFF"/>
            <w:noWrap w:val="0"/>
            <w:vAlign w:val="center"/>
          </w:tcPr>
          <w:p w14:paraId="089F7D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rPr>
            </w:pPr>
          </w:p>
        </w:tc>
        <w:tc>
          <w:tcPr>
            <w:tcW w:w="3621" w:type="pct"/>
            <w:shd w:val="clear" w:color="auto" w:fill="FFFFFF"/>
            <w:noWrap w:val="0"/>
            <w:vAlign w:val="center"/>
          </w:tcPr>
          <w:p w14:paraId="363F8A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textAlignment w:val="auto"/>
              <w:rPr>
                <w:rFonts w:hint="eastAsia" w:ascii="宋体" w:hAnsi="宋体" w:eastAsia="宋体" w:cs="宋体"/>
                <w:b w:val="0"/>
                <w:bCs w:val="0"/>
                <w:color w:val="auto"/>
                <w:spacing w:val="0"/>
                <w:sz w:val="22"/>
                <w:szCs w:val="22"/>
                <w:highlight w:val="none"/>
                <w:lang w:eastAsia="zh-CN"/>
              </w:rPr>
            </w:pPr>
            <w:r>
              <w:rPr>
                <w:rFonts w:hint="eastAsia" w:ascii="宋体" w:hAnsi="宋体" w:eastAsia="宋体" w:cs="宋体"/>
                <w:b w:val="0"/>
                <w:bCs w:val="0"/>
                <w:color w:val="auto"/>
                <w:spacing w:val="0"/>
                <w:sz w:val="22"/>
                <w:szCs w:val="22"/>
                <w:highlight w:val="none"/>
                <w:lang w:val="en-US" w:eastAsia="zh-CN"/>
              </w:rPr>
              <w:t>根据</w:t>
            </w:r>
            <w:r>
              <w:rPr>
                <w:rFonts w:hint="eastAsia" w:ascii="宋体" w:hAnsi="宋体" w:eastAsia="宋体" w:cs="宋体"/>
                <w:b w:val="0"/>
                <w:bCs w:val="0"/>
                <w:color w:val="auto"/>
                <w:spacing w:val="0"/>
                <w:sz w:val="22"/>
                <w:szCs w:val="22"/>
                <w:highlight w:val="none"/>
                <w:lang w:eastAsia="zh-CN"/>
              </w:rPr>
              <w:t>据投标人售后服务</w:t>
            </w:r>
            <w:r>
              <w:rPr>
                <w:rFonts w:hint="eastAsia" w:ascii="宋体" w:hAnsi="宋体" w:eastAsia="宋体" w:cs="宋体"/>
                <w:b w:val="0"/>
                <w:bCs w:val="0"/>
                <w:color w:val="auto"/>
                <w:spacing w:val="0"/>
                <w:sz w:val="22"/>
                <w:szCs w:val="22"/>
                <w:highlight w:val="none"/>
                <w:lang w:val="en-US" w:eastAsia="zh-CN"/>
              </w:rPr>
              <w:t>的</w:t>
            </w:r>
            <w:r>
              <w:rPr>
                <w:rFonts w:hint="eastAsia" w:ascii="宋体" w:hAnsi="宋体" w:eastAsia="宋体" w:cs="宋体"/>
                <w:b w:val="0"/>
                <w:bCs w:val="0"/>
                <w:color w:val="auto"/>
                <w:spacing w:val="0"/>
                <w:sz w:val="22"/>
                <w:szCs w:val="22"/>
                <w:highlight w:val="none"/>
                <w:lang w:eastAsia="zh-CN"/>
              </w:rPr>
              <w:t>便利性，应急维修响应能力等</w:t>
            </w:r>
            <w:r>
              <w:rPr>
                <w:rFonts w:hint="eastAsia" w:ascii="宋体" w:hAnsi="宋体" w:eastAsia="宋体" w:cs="宋体"/>
                <w:b w:val="0"/>
                <w:bCs w:val="0"/>
                <w:color w:val="auto"/>
                <w:spacing w:val="0"/>
                <w:sz w:val="22"/>
                <w:szCs w:val="22"/>
                <w:highlight w:val="none"/>
                <w:lang w:val="en-US" w:eastAsia="zh-CN"/>
              </w:rPr>
              <w:t>内容进行综合评审。优得（2-3）分，良好得（1-1.9）分，一般得（0.5-0.9）分，未提供不得分。</w:t>
            </w:r>
          </w:p>
        </w:tc>
        <w:tc>
          <w:tcPr>
            <w:tcW w:w="525" w:type="pct"/>
            <w:shd w:val="clear" w:color="auto" w:fill="FFFFFF"/>
            <w:noWrap w:val="0"/>
            <w:vAlign w:val="center"/>
          </w:tcPr>
          <w:p w14:paraId="05D61D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3</w:t>
            </w:r>
          </w:p>
        </w:tc>
      </w:tr>
      <w:tr w14:paraId="12EE2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53" w:type="pct"/>
            <w:shd w:val="clear" w:color="auto" w:fill="FFFFFF"/>
            <w:noWrap w:val="0"/>
            <w:vAlign w:val="center"/>
          </w:tcPr>
          <w:p w14:paraId="450080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12</w:t>
            </w:r>
          </w:p>
        </w:tc>
        <w:tc>
          <w:tcPr>
            <w:tcW w:w="599" w:type="pct"/>
            <w:tcBorders>
              <w:left w:val="single" w:color="auto" w:sz="4" w:space="0"/>
              <w:right w:val="single" w:color="auto" w:sz="4" w:space="0"/>
            </w:tcBorders>
            <w:shd w:val="clear" w:color="auto" w:fill="FFFFFF"/>
            <w:noWrap w:val="0"/>
            <w:vAlign w:val="center"/>
          </w:tcPr>
          <w:p w14:paraId="6AFEBB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jc w:val="center"/>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质保期承诺</w:t>
            </w:r>
          </w:p>
        </w:tc>
        <w:tc>
          <w:tcPr>
            <w:tcW w:w="6518" w:type="dxa"/>
            <w:shd w:val="clear" w:color="auto" w:fill="FFFFFF"/>
            <w:noWrap w:val="0"/>
            <w:vAlign w:val="center"/>
          </w:tcPr>
          <w:p w14:paraId="4AC175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textAlignment w:val="auto"/>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b w:val="0"/>
                <w:bCs w:val="0"/>
                <w:color w:val="auto"/>
                <w:spacing w:val="0"/>
                <w:sz w:val="22"/>
                <w:szCs w:val="22"/>
                <w:highlight w:val="none"/>
                <w:lang w:val="en-US" w:eastAsia="zh-CN"/>
              </w:rPr>
              <w:t>根据投标人承诺的质保期（含设备及管线，以</w:t>
            </w:r>
            <w:r>
              <w:rPr>
                <w:rFonts w:hint="eastAsia" w:ascii="宋体" w:hAnsi="宋体" w:eastAsia="宋体" w:cs="宋体"/>
                <w:color w:val="auto"/>
                <w:sz w:val="22"/>
                <w:szCs w:val="22"/>
                <w:highlight w:val="none"/>
                <w:u w:val="single"/>
                <w:lang w:val="en-US" w:eastAsia="zh-CN"/>
              </w:rPr>
              <w:t>通信发展办（或通建办）出具的《准予接入公网通知书》</w:t>
            </w:r>
            <w:r>
              <w:rPr>
                <w:rFonts w:hint="eastAsia" w:ascii="宋体" w:hAnsi="宋体" w:eastAsia="宋体" w:cs="宋体"/>
                <w:b w:val="0"/>
                <w:bCs w:val="0"/>
                <w:color w:val="auto"/>
                <w:spacing w:val="0"/>
                <w:sz w:val="22"/>
                <w:szCs w:val="22"/>
                <w:highlight w:val="none"/>
                <w:lang w:val="en-US" w:eastAsia="zh-CN"/>
              </w:rPr>
              <w:t>之日起开始计算）进行打分，满足基本要求3年的不得分，每延长1年得1分,最多得2分。</w:t>
            </w:r>
          </w:p>
        </w:tc>
        <w:tc>
          <w:tcPr>
            <w:tcW w:w="945" w:type="dxa"/>
            <w:shd w:val="clear" w:color="auto" w:fill="FFFFFF"/>
            <w:noWrap w:val="0"/>
            <w:vAlign w:val="center"/>
          </w:tcPr>
          <w:p w14:paraId="4E452FD9">
            <w:pPr>
              <w:keepNext w:val="0"/>
              <w:keepLines w:val="0"/>
              <w:pageBreakBefore w:val="0"/>
              <w:widowControl w:val="0"/>
              <w:suppressLineNumbers w:val="0"/>
              <w:kinsoku w:val="0"/>
              <w:wordWrap/>
              <w:overflowPunct/>
              <w:topLinePunct w:val="0"/>
              <w:autoSpaceDE/>
              <w:autoSpaceDN w:val="0"/>
              <w:bidi w:val="0"/>
              <w:adjustRightInd w:val="0"/>
              <w:snapToGrid w:val="0"/>
              <w:spacing w:before="0" w:beforeAutospacing="0" w:after="0" w:afterAutospacing="0" w:line="312" w:lineRule="auto"/>
              <w:ind w:left="0" w:leftChars="0" w:right="0" w:rightChars="0" w:firstLine="0" w:firstLineChars="0"/>
              <w:jc w:val="center"/>
              <w:textAlignment w:val="center"/>
              <w:rPr>
                <w:rFonts w:hint="eastAsia" w:ascii="宋体" w:hAnsi="宋体" w:eastAsia="宋体" w:cs="宋体"/>
                <w:b w:val="0"/>
                <w:bCs w:val="0"/>
                <w:color w:val="auto"/>
                <w:spacing w:val="0"/>
                <w:sz w:val="22"/>
                <w:szCs w:val="22"/>
                <w:highlight w:val="none"/>
                <w:lang w:val="en-US" w:eastAsia="zh-CN"/>
              </w:rPr>
            </w:pPr>
            <w:r>
              <w:rPr>
                <w:rFonts w:hint="eastAsia" w:ascii="宋体" w:hAnsi="宋体" w:eastAsia="宋体" w:cs="宋体"/>
                <w:color w:val="auto"/>
                <w:sz w:val="22"/>
                <w:szCs w:val="22"/>
                <w:highlight w:val="none"/>
                <w:lang w:val="en-US" w:eastAsia="zh-CN" w:bidi="ar"/>
              </w:rPr>
              <w:t>2</w:t>
            </w:r>
          </w:p>
        </w:tc>
      </w:tr>
    </w:tbl>
    <w:p w14:paraId="09199B83">
      <w:pPr>
        <w:keepNext w:val="0"/>
        <w:keepLines w:val="0"/>
        <w:pageBreakBefore w:val="0"/>
        <w:widowControl w:val="0"/>
        <w:kinsoku/>
        <w:wordWrap/>
        <w:overflowPunct/>
        <w:topLinePunct w:val="0"/>
        <w:autoSpaceDE/>
        <w:autoSpaceDN/>
        <w:bidi w:val="0"/>
        <w:adjustRightInd/>
        <w:snapToGrid w:val="0"/>
        <w:spacing w:line="312" w:lineRule="auto"/>
        <w:ind w:firstLine="422" w:firstLineChars="200"/>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备注：</w:t>
      </w:r>
    </w:p>
    <w:p w14:paraId="01B21116">
      <w:pPr>
        <w:keepNext w:val="0"/>
        <w:keepLines w:val="0"/>
        <w:pageBreakBefore w:val="0"/>
        <w:widowControl w:val="0"/>
        <w:kinsoku/>
        <w:wordWrap/>
        <w:overflowPunct/>
        <w:topLinePunct w:val="0"/>
        <w:autoSpaceDE/>
        <w:autoSpaceDN/>
        <w:bidi w:val="0"/>
        <w:adjustRightInd/>
        <w:snapToGrid w:val="0"/>
        <w:spacing w:line="312" w:lineRule="auto"/>
        <w:ind w:firstLine="422" w:firstLineChars="200"/>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（1）有关以上评分的资料（证书、文件、合同等）直接提供复印件（或扫描件）加盖投标人公章，投标人对真实性、有效性负责；</w:t>
      </w:r>
    </w:p>
    <w:p w14:paraId="365D636D">
      <w:pPr>
        <w:keepNext w:val="0"/>
        <w:keepLines w:val="0"/>
        <w:pageBreakBefore w:val="0"/>
        <w:widowControl w:val="0"/>
        <w:kinsoku/>
        <w:wordWrap/>
        <w:overflowPunct/>
        <w:topLinePunct w:val="0"/>
        <w:autoSpaceDE/>
        <w:autoSpaceDN/>
        <w:bidi w:val="0"/>
        <w:adjustRightInd/>
        <w:snapToGrid w:val="0"/>
        <w:spacing w:line="312" w:lineRule="auto"/>
        <w:ind w:firstLine="422" w:firstLineChars="200"/>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（2）对各评审委员会成员的技术部分评分进行汇总，按算术平均值方式计算出各投标人的技术分。得分计算结果精确到小数点后两位，小数点后第三位四舍五入。</w:t>
      </w:r>
    </w:p>
    <w:p w14:paraId="13FD003D">
      <w:pPr>
        <w:keepNext w:val="0"/>
        <w:keepLines w:val="0"/>
        <w:pageBreakBefore w:val="0"/>
        <w:widowControl w:val="0"/>
        <w:kinsoku/>
        <w:wordWrap/>
        <w:overflowPunct/>
        <w:topLinePunct w:val="0"/>
        <w:autoSpaceDE/>
        <w:autoSpaceDN/>
        <w:bidi w:val="0"/>
        <w:adjustRightInd/>
        <w:snapToGrid w:val="0"/>
        <w:spacing w:line="312" w:lineRule="auto"/>
        <w:ind w:firstLine="422" w:firstLineChars="200"/>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（3）投标人所提供的复印件必须与自有原件一致，如发现有伪造或恶意修改等现象，招标人将上报监督部门，并追究投标人相应责任。</w:t>
      </w:r>
    </w:p>
    <w:p w14:paraId="4BBDC0FC">
      <w:pPr>
        <w:pStyle w:val="8"/>
        <w:rPr>
          <w:rFonts w:hint="eastAsia"/>
          <w:highlight w:val="none"/>
          <w:lang w:val="en-US" w:eastAsia="zh-CN"/>
        </w:rPr>
      </w:pPr>
    </w:p>
    <w:p w14:paraId="61603CFF">
      <w:pPr>
        <w:keepNext w:val="0"/>
        <w:keepLines w:val="0"/>
        <w:pageBreakBefore w:val="0"/>
        <w:widowControl w:val="0"/>
        <w:numPr>
          <w:ilvl w:val="0"/>
          <w:numId w:val="0"/>
        </w:numPr>
        <w:kinsoku/>
        <w:wordWrap/>
        <w:overflowPunct/>
        <w:topLinePunct w:val="0"/>
        <w:autoSpaceDE/>
        <w:autoSpaceDN/>
        <w:bidi w:val="0"/>
        <w:adjustRightInd/>
        <w:snapToGrid w:val="0"/>
        <w:spacing w:line="312" w:lineRule="auto"/>
        <w:ind w:firstLine="442" w:firstLineChars="200"/>
        <w:textAlignment w:val="auto"/>
        <w:rPr>
          <w:rFonts w:ascii="宋体"/>
          <w:b/>
          <w:color w:val="auto"/>
          <w:sz w:val="22"/>
          <w:szCs w:val="28"/>
          <w:highlight w:val="none"/>
        </w:rPr>
      </w:pPr>
      <w:r>
        <w:rPr>
          <w:rFonts w:hint="eastAsia" w:ascii="宋体" w:hAnsi="宋体"/>
          <w:b/>
          <w:color w:val="auto"/>
          <w:kern w:val="0"/>
          <w:sz w:val="22"/>
          <w:szCs w:val="22"/>
          <w:highlight w:val="none"/>
          <w:lang w:val="en-US" w:eastAsia="zh-CN"/>
        </w:rPr>
        <w:t>4、</w:t>
      </w:r>
      <w:r>
        <w:rPr>
          <w:rFonts w:hint="eastAsia" w:ascii="宋体" w:hAnsi="宋体"/>
          <w:b/>
          <w:color w:val="auto"/>
          <w:kern w:val="0"/>
          <w:sz w:val="22"/>
          <w:szCs w:val="22"/>
          <w:highlight w:val="none"/>
        </w:rPr>
        <w:t>商务分（</w:t>
      </w:r>
      <w:r>
        <w:rPr>
          <w:rFonts w:hint="eastAsia" w:ascii="宋体" w:hAnsi="宋体"/>
          <w:b/>
          <w:color w:val="auto"/>
          <w:kern w:val="0"/>
          <w:sz w:val="22"/>
          <w:szCs w:val="22"/>
          <w:highlight w:val="none"/>
          <w:lang w:val="en-US" w:eastAsia="zh-CN"/>
        </w:rPr>
        <w:t>30</w:t>
      </w:r>
      <w:r>
        <w:rPr>
          <w:rFonts w:hint="eastAsia" w:ascii="宋体" w:hAnsi="宋体"/>
          <w:b/>
          <w:color w:val="auto"/>
          <w:kern w:val="0"/>
          <w:sz w:val="22"/>
          <w:szCs w:val="22"/>
          <w:highlight w:val="none"/>
        </w:rPr>
        <w:t>分）</w:t>
      </w:r>
    </w:p>
    <w:p w14:paraId="18B5E377">
      <w:pPr>
        <w:keepLines w:val="0"/>
        <w:pageBreakBefore w:val="0"/>
        <w:wordWrap/>
        <w:overflowPunct/>
        <w:topLinePunct w:val="0"/>
        <w:bidi w:val="0"/>
        <w:snapToGrid w:val="0"/>
        <w:spacing w:line="312" w:lineRule="auto"/>
        <w:ind w:firstLine="440" w:firstLineChars="20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(1)评分范围：通过符合性审查的所有投标文件进入评分范围。</w:t>
      </w:r>
    </w:p>
    <w:p w14:paraId="27511CA6">
      <w:pPr>
        <w:keepLines w:val="0"/>
        <w:pageBreakBefore w:val="0"/>
        <w:wordWrap/>
        <w:overflowPunct/>
        <w:topLinePunct w:val="0"/>
        <w:bidi w:val="0"/>
        <w:snapToGrid w:val="0"/>
        <w:spacing w:line="312" w:lineRule="auto"/>
        <w:ind w:firstLine="440" w:firstLineChars="20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(2)评标基准价：进入评分范围的投标评标价的算术平均值为评标基准价(其中，</w:t>
      </w:r>
    </w:p>
    <w:p w14:paraId="0E595C63">
      <w:pPr>
        <w:keepLines w:val="0"/>
        <w:pageBreakBefore w:val="0"/>
        <w:wordWrap/>
        <w:overflowPunct/>
        <w:topLinePunct w:val="0"/>
        <w:bidi w:val="0"/>
        <w:snapToGrid w:val="0"/>
        <w:spacing w:line="312" w:lineRule="auto"/>
        <w:ind w:firstLine="440" w:firstLineChars="20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投标评标价在5个至7个时，去除一个最高价和一个最低价；投标评标价在8个及以上时，去除一个最高、次高价和一个最低、次低价)。</w:t>
      </w:r>
    </w:p>
    <w:p w14:paraId="1447DA7E">
      <w:pPr>
        <w:keepLines w:val="0"/>
        <w:pageBreakBefore w:val="0"/>
        <w:wordWrap/>
        <w:overflowPunct/>
        <w:topLinePunct w:val="0"/>
        <w:bidi w:val="0"/>
        <w:snapToGrid w:val="0"/>
        <w:spacing w:line="312" w:lineRule="auto"/>
        <w:ind w:firstLine="440" w:firstLineChars="20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(3)根据投标文件的投标评标价与评标基准价对比，计算投标人的商务报价的得分值。</w:t>
      </w:r>
    </w:p>
    <w:p w14:paraId="5D2EA162">
      <w:pPr>
        <w:keepLines w:val="0"/>
        <w:pageBreakBefore w:val="0"/>
        <w:wordWrap/>
        <w:overflowPunct/>
        <w:topLinePunct w:val="0"/>
        <w:bidi w:val="0"/>
        <w:snapToGrid w:val="0"/>
        <w:spacing w:line="312" w:lineRule="auto"/>
        <w:ind w:firstLine="440" w:firstLineChars="20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即：</w:t>
      </w:r>
    </w:p>
    <w:p w14:paraId="2A56E809">
      <w:pPr>
        <w:keepLines w:val="0"/>
        <w:pageBreakBefore w:val="0"/>
        <w:wordWrap/>
        <w:overflowPunct/>
        <w:topLinePunct w:val="0"/>
        <w:bidi w:val="0"/>
        <w:snapToGrid w:val="0"/>
        <w:spacing w:line="312" w:lineRule="auto"/>
        <w:ind w:firstLine="440" w:firstLineChars="20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a.投标评标价等于评标基准价时，得满分(</w:t>
      </w:r>
      <w:r>
        <w:rPr>
          <w:rFonts w:hint="eastAsia" w:ascii="宋体" w:hAnsi="宋体" w:eastAsia="宋体" w:cs="宋体"/>
          <w:color w:val="auto"/>
          <w:sz w:val="22"/>
          <w:szCs w:val="22"/>
          <w:highlight w:val="none"/>
          <w:lang w:val="en-US" w:eastAsia="zh-CN"/>
        </w:rPr>
        <w:t>30</w:t>
      </w:r>
      <w:r>
        <w:rPr>
          <w:rFonts w:hint="eastAsia" w:ascii="宋体" w:hAnsi="宋体" w:eastAsia="宋体" w:cs="宋体"/>
          <w:color w:val="auto"/>
          <w:sz w:val="22"/>
          <w:szCs w:val="22"/>
          <w:highlight w:val="none"/>
          <w:lang w:eastAsia="zh-CN"/>
        </w:rPr>
        <w:t>分)；</w:t>
      </w:r>
    </w:p>
    <w:p w14:paraId="0ACB9B9D">
      <w:pPr>
        <w:keepLines w:val="0"/>
        <w:pageBreakBefore w:val="0"/>
        <w:wordWrap/>
        <w:overflowPunct/>
        <w:topLinePunct w:val="0"/>
        <w:bidi w:val="0"/>
        <w:snapToGrid w:val="0"/>
        <w:spacing w:line="312" w:lineRule="auto"/>
        <w:ind w:firstLine="440" w:firstLineChars="20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b.投标评标价每低于评标基准价1个百分点，扣</w:t>
      </w:r>
      <w:r>
        <w:rPr>
          <w:rFonts w:hint="eastAsia" w:ascii="宋体" w:hAnsi="宋体" w:eastAsia="宋体" w:cs="宋体"/>
          <w:color w:val="auto"/>
          <w:sz w:val="22"/>
          <w:szCs w:val="22"/>
          <w:highlight w:val="none"/>
          <w:lang w:val="en-US" w:eastAsia="zh-CN"/>
        </w:rPr>
        <w:t>0.5</w:t>
      </w:r>
      <w:r>
        <w:rPr>
          <w:rFonts w:hint="eastAsia" w:ascii="宋体" w:hAnsi="宋体" w:eastAsia="宋体" w:cs="宋体"/>
          <w:color w:val="auto"/>
          <w:sz w:val="22"/>
          <w:szCs w:val="22"/>
          <w:highlight w:val="none"/>
          <w:lang w:eastAsia="zh-CN"/>
        </w:rPr>
        <w:t>分；</w:t>
      </w:r>
    </w:p>
    <w:p w14:paraId="18E7B908">
      <w:pPr>
        <w:keepLines w:val="0"/>
        <w:pageBreakBefore w:val="0"/>
        <w:wordWrap/>
        <w:overflowPunct/>
        <w:topLinePunct w:val="0"/>
        <w:bidi w:val="0"/>
        <w:snapToGrid w:val="0"/>
        <w:spacing w:line="312" w:lineRule="auto"/>
        <w:ind w:firstLine="440" w:firstLineChars="20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c.投标评标价每高于评标基准价1个百分点，扣1分。</w:t>
      </w:r>
    </w:p>
    <w:p w14:paraId="0D431E5E">
      <w:pPr>
        <w:keepLines w:val="0"/>
        <w:pageBreakBefore w:val="0"/>
        <w:wordWrap/>
        <w:overflowPunct/>
        <w:topLinePunct w:val="0"/>
        <w:bidi w:val="0"/>
        <w:snapToGrid w:val="0"/>
        <w:spacing w:line="312" w:lineRule="auto"/>
        <w:ind w:firstLine="440" w:firstLineChars="20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以上报价得分不足一个百分点时，使用直线插入法计算，保留小数2位。投标文件的商务标评分不足10分的，计为10分。</w:t>
      </w:r>
    </w:p>
    <w:p w14:paraId="4559E242">
      <w:pPr>
        <w:keepLines w:val="0"/>
        <w:pageBreakBefore w:val="0"/>
        <w:wordWrap/>
        <w:overflowPunct/>
        <w:topLinePunct w:val="0"/>
        <w:bidi w:val="0"/>
        <w:snapToGrid w:val="0"/>
        <w:spacing w:line="312" w:lineRule="auto"/>
        <w:ind w:firstLine="440" w:firstLineChars="200"/>
        <w:jc w:val="left"/>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计算结果精确到小数点后两位，小数点后第三位四舍五入。</w:t>
      </w:r>
    </w:p>
    <w:p w14:paraId="432BAED2">
      <w:pPr>
        <w:keepLines w:val="0"/>
        <w:pageBreakBefore w:val="0"/>
        <w:wordWrap/>
        <w:overflowPunct/>
        <w:topLinePunct w:val="0"/>
        <w:bidi w:val="0"/>
        <w:snapToGrid w:val="0"/>
        <w:spacing w:line="312" w:lineRule="auto"/>
        <w:ind w:firstLine="440" w:firstLineChars="200"/>
        <w:jc w:val="left"/>
        <w:rPr>
          <w:rFonts w:hint="eastAsia"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5</w:t>
      </w:r>
      <w:r>
        <w:rPr>
          <w:rFonts w:hint="eastAsia" w:ascii="宋体" w:hAnsi="宋体" w:eastAsia="宋体" w:cs="宋体"/>
          <w:color w:val="auto"/>
          <w:kern w:val="0"/>
          <w:sz w:val="22"/>
          <w:szCs w:val="22"/>
          <w:highlight w:val="none"/>
          <w:lang w:val="en-US" w:eastAsia="zh-CN" w:bidi="ar"/>
        </w:rPr>
        <w:t>.综合得分（满分100分）= 技术分+商务分</w:t>
      </w:r>
    </w:p>
    <w:p w14:paraId="1B822961">
      <w:pPr>
        <w:keepLines w:val="0"/>
        <w:pageBreakBefore w:val="0"/>
        <w:wordWrap/>
        <w:overflowPunct/>
        <w:topLinePunct w:val="0"/>
        <w:bidi w:val="0"/>
        <w:snapToGrid w:val="0"/>
        <w:spacing w:line="312" w:lineRule="auto"/>
        <w:ind w:firstLine="440" w:firstLineChars="200"/>
        <w:jc w:val="left"/>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评审小组按总得分从高到低的顺序推荐确定中标候选人。</w:t>
      </w:r>
    </w:p>
    <w:p w14:paraId="46296262">
      <w:pPr>
        <w:keepLines w:val="0"/>
        <w:pageBreakBefore w:val="0"/>
        <w:wordWrap/>
        <w:overflowPunct/>
        <w:topLinePunct w:val="0"/>
        <w:bidi w:val="0"/>
        <w:snapToGrid w:val="0"/>
        <w:spacing w:line="312" w:lineRule="auto"/>
        <w:ind w:firstLine="440" w:firstLineChars="200"/>
        <w:jc w:val="left"/>
        <w:rPr>
          <w:rFonts w:hint="eastAsia" w:ascii="宋体" w:hAnsi="宋体" w:eastAsia="宋体" w:cs="宋体"/>
          <w:color w:val="auto"/>
          <w:sz w:val="22"/>
          <w:szCs w:val="22"/>
          <w:highlight w:val="none"/>
          <w:lang w:eastAsia="zh-CN"/>
        </w:rPr>
      </w:pPr>
      <w:r>
        <w:rPr>
          <w:rFonts w:hint="eastAsia" w:ascii="宋体" w:hAnsi="宋体" w:cs="宋体"/>
          <w:color w:val="auto"/>
          <w:kern w:val="0"/>
          <w:sz w:val="22"/>
          <w:szCs w:val="22"/>
          <w:highlight w:val="none"/>
          <w:lang w:val="en-US" w:eastAsia="zh-CN" w:bidi="ar"/>
        </w:rPr>
        <w:t>6</w:t>
      </w:r>
      <w:r>
        <w:rPr>
          <w:rFonts w:hint="eastAsia" w:ascii="宋体" w:hAnsi="宋体" w:eastAsia="宋体" w:cs="宋体"/>
          <w:color w:val="auto"/>
          <w:kern w:val="0"/>
          <w:sz w:val="22"/>
          <w:szCs w:val="22"/>
          <w:highlight w:val="none"/>
          <w:lang w:val="en-US" w:eastAsia="zh-CN" w:bidi="ar"/>
        </w:rPr>
        <w:t>.本次招标无符合招标资格要求的投标人时，重新组织招标</w:t>
      </w:r>
      <w:r>
        <w:rPr>
          <w:rFonts w:hint="eastAsia" w:ascii="Times New Roman" w:hAnsi="Times New Roman" w:eastAsia="宋体" w:cs="Times New Roman"/>
          <w:bCs/>
          <w:iCs/>
          <w:color w:val="auto"/>
          <w:sz w:val="28"/>
          <w:szCs w:val="28"/>
          <w:highlight w:val="none"/>
        </w:rPr>
        <w:t>。</w:t>
      </w:r>
    </w:p>
    <w:p w14:paraId="45FF6BE1">
      <w:pPr>
        <w:pStyle w:val="3"/>
        <w:keepLines w:val="0"/>
        <w:pageBreakBefore w:val="0"/>
        <w:numPr>
          <w:ilvl w:val="1"/>
          <w:numId w:val="0"/>
        </w:numPr>
        <w:wordWrap/>
        <w:overflowPunct/>
        <w:topLinePunct w:val="0"/>
        <w:bidi w:val="0"/>
        <w:snapToGrid w:val="0"/>
        <w:spacing w:before="0" w:after="0" w:line="312" w:lineRule="auto"/>
        <w:jc w:val="center"/>
        <w:rPr>
          <w:rFonts w:hint="eastAsia" w:ascii="宋体" w:hAnsi="宋体" w:eastAsia="宋体" w:cs="宋体"/>
          <w:b/>
          <w:color w:val="auto"/>
          <w:sz w:val="32"/>
          <w:szCs w:val="32"/>
          <w:highlight w:val="none"/>
        </w:rPr>
      </w:pPr>
      <w:bookmarkStart w:id="63" w:name="_Toc29518"/>
      <w:r>
        <w:rPr>
          <w:rFonts w:hint="eastAsia"/>
          <w:color w:val="auto"/>
          <w:sz w:val="32"/>
          <w:szCs w:val="32"/>
          <w:highlight w:val="none"/>
          <w:lang w:eastAsia="zh-CN"/>
        </w:rPr>
        <w:t>八</w:t>
      </w:r>
      <w:r>
        <w:rPr>
          <w:rFonts w:hint="eastAsia"/>
          <w:color w:val="auto"/>
          <w:sz w:val="32"/>
          <w:szCs w:val="32"/>
          <w:highlight w:val="none"/>
        </w:rPr>
        <w:t>、定 标</w:t>
      </w:r>
      <w:bookmarkEnd w:id="63"/>
    </w:p>
    <w:p w14:paraId="7B23C62B">
      <w:pPr>
        <w:keepNext w:val="0"/>
        <w:keepLines w:val="0"/>
        <w:pageBreakBefore w:val="0"/>
        <w:widowControl w:val="0"/>
        <w:kinsoku/>
        <w:wordWrap/>
        <w:overflowPunct/>
        <w:topLinePunct w:val="0"/>
        <w:bidi w:val="0"/>
        <w:adjustRightInd/>
        <w:snapToGrid w:val="0"/>
        <w:spacing w:line="312" w:lineRule="auto"/>
        <w:ind w:firstLine="442" w:firstLineChars="200"/>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定标方法：</w:t>
      </w:r>
    </w:p>
    <w:p w14:paraId="40B10781">
      <w:pPr>
        <w:keepNext w:val="0"/>
        <w:keepLines w:val="0"/>
        <w:pageBreakBefore w:val="0"/>
        <w:widowControl w:val="0"/>
        <w:kinsoku/>
        <w:wordWrap/>
        <w:overflowPunct/>
        <w:topLinePunct w:val="0"/>
        <w:autoSpaceDE/>
        <w:autoSpaceDN/>
        <w:bidi w:val="0"/>
        <w:adjustRightInd/>
        <w:snapToGrid w:val="0"/>
        <w:spacing w:line="312" w:lineRule="auto"/>
        <w:ind w:left="0" w:leftChars="0" w:firstLine="440" w:firstLineChars="200"/>
        <w:textAlignment w:val="auto"/>
        <w:rPr>
          <w:rFonts w:hint="eastAsia" w:ascii="宋体" w:hAnsi="宋体" w:eastAsia="宋体" w:cs="宋体"/>
          <w:color w:val="auto"/>
          <w:spacing w:val="0"/>
          <w:sz w:val="22"/>
          <w:szCs w:val="22"/>
          <w:highlight w:val="none"/>
        </w:rPr>
      </w:pPr>
      <w:r>
        <w:rPr>
          <w:rFonts w:hint="eastAsia" w:ascii="宋体" w:hAnsi="宋体" w:eastAsia="宋体" w:cs="宋体"/>
          <w:color w:val="auto"/>
          <w:spacing w:val="0"/>
          <w:sz w:val="22"/>
          <w:szCs w:val="22"/>
          <w:highlight w:val="none"/>
        </w:rPr>
        <w:t>根据评标委员会推荐，由招标人确定中标人。评标委员会根据综合评分对进入评分范围的投标文件按最终</w:t>
      </w:r>
      <w:r>
        <w:rPr>
          <w:rFonts w:hint="eastAsia" w:ascii="宋体" w:hAnsi="宋体" w:eastAsia="宋体" w:cs="宋体"/>
          <w:color w:val="auto"/>
          <w:spacing w:val="0"/>
          <w:sz w:val="22"/>
          <w:szCs w:val="22"/>
          <w:highlight w:val="none"/>
          <w:lang w:eastAsia="zh-CN"/>
        </w:rPr>
        <w:t>总</w:t>
      </w:r>
      <w:r>
        <w:rPr>
          <w:rFonts w:hint="eastAsia" w:ascii="宋体" w:hAnsi="宋体" w:eastAsia="宋体" w:cs="宋体"/>
          <w:color w:val="auto"/>
          <w:spacing w:val="0"/>
          <w:sz w:val="22"/>
          <w:szCs w:val="22"/>
          <w:highlight w:val="none"/>
        </w:rPr>
        <w:t>得分由高到低进行排序，评分相同时，报价低者优先；评分、报价均相同时，技术得分高优先；评分、报价、技术得分均相同时，由</w:t>
      </w:r>
      <w:r>
        <w:rPr>
          <w:rFonts w:hint="eastAsia" w:ascii="宋体" w:hAnsi="宋体" w:eastAsia="宋体" w:cs="宋体"/>
          <w:color w:val="auto"/>
          <w:spacing w:val="0"/>
          <w:sz w:val="22"/>
          <w:szCs w:val="22"/>
          <w:highlight w:val="none"/>
          <w:lang w:eastAsia="zh-CN"/>
        </w:rPr>
        <w:t>招标人现场抽签</w:t>
      </w:r>
      <w:r>
        <w:rPr>
          <w:rFonts w:hint="eastAsia" w:ascii="宋体" w:hAnsi="宋体" w:eastAsia="宋体" w:cs="宋体"/>
          <w:color w:val="auto"/>
          <w:spacing w:val="0"/>
          <w:sz w:val="22"/>
          <w:szCs w:val="22"/>
          <w:highlight w:val="none"/>
        </w:rPr>
        <w:t>方式</w:t>
      </w:r>
      <w:r>
        <w:rPr>
          <w:rFonts w:hint="eastAsia" w:ascii="宋体" w:hAnsi="宋体" w:eastAsia="宋体" w:cs="宋体"/>
          <w:color w:val="auto"/>
          <w:spacing w:val="0"/>
          <w:sz w:val="22"/>
          <w:szCs w:val="22"/>
          <w:highlight w:val="none"/>
          <w:lang w:eastAsia="zh-CN"/>
        </w:rPr>
        <w:t>确定中标人</w:t>
      </w:r>
      <w:r>
        <w:rPr>
          <w:rFonts w:hint="eastAsia" w:ascii="宋体" w:hAnsi="宋体" w:eastAsia="宋体" w:cs="宋体"/>
          <w:color w:val="auto"/>
          <w:spacing w:val="0"/>
          <w:sz w:val="22"/>
          <w:szCs w:val="22"/>
          <w:highlight w:val="none"/>
        </w:rPr>
        <w:t>。</w:t>
      </w:r>
    </w:p>
    <w:p w14:paraId="1880641D">
      <w:pPr>
        <w:keepNext w:val="0"/>
        <w:keepLines w:val="0"/>
        <w:pageBreakBefore w:val="0"/>
        <w:widowControl w:val="0"/>
        <w:kinsoku/>
        <w:wordWrap/>
        <w:overflowPunct/>
        <w:topLinePunct w:val="0"/>
        <w:autoSpaceDE/>
        <w:autoSpaceDN/>
        <w:bidi w:val="0"/>
        <w:adjustRightInd/>
        <w:snapToGrid w:val="0"/>
        <w:spacing w:line="312" w:lineRule="auto"/>
        <w:ind w:left="0" w:leftChars="0" w:firstLine="440" w:firstLineChars="200"/>
        <w:textAlignment w:val="auto"/>
        <w:rPr>
          <w:rFonts w:hint="eastAsia" w:ascii="宋体" w:hAnsi="宋体" w:eastAsia="宋体" w:cs="宋体"/>
          <w:color w:val="auto"/>
          <w:sz w:val="22"/>
          <w:szCs w:val="18"/>
          <w:highlight w:val="none"/>
          <w:lang w:eastAsia="zh-CN"/>
        </w:rPr>
      </w:pPr>
      <w:r>
        <w:rPr>
          <w:rFonts w:hint="eastAsia" w:ascii="宋体" w:hAnsi="宋体" w:eastAsia="宋体" w:cs="宋体"/>
          <w:color w:val="auto"/>
          <w:sz w:val="22"/>
          <w:szCs w:val="18"/>
          <w:highlight w:val="none"/>
        </w:rPr>
        <w:t>评标委员会推荐中标候选人</w:t>
      </w:r>
      <w:r>
        <w:rPr>
          <w:rFonts w:hint="eastAsia" w:ascii="宋体" w:hAnsi="宋体" w:eastAsia="宋体" w:cs="宋体"/>
          <w:color w:val="auto"/>
          <w:sz w:val="22"/>
          <w:szCs w:val="18"/>
          <w:highlight w:val="none"/>
          <w:u w:val="single"/>
        </w:rPr>
        <w:t xml:space="preserve"> 1  </w:t>
      </w:r>
      <w:r>
        <w:rPr>
          <w:rFonts w:hint="eastAsia" w:ascii="宋体" w:hAnsi="宋体" w:eastAsia="宋体" w:cs="宋体"/>
          <w:color w:val="auto"/>
          <w:sz w:val="22"/>
          <w:szCs w:val="18"/>
          <w:highlight w:val="none"/>
        </w:rPr>
        <w:t>名</w:t>
      </w:r>
      <w:r>
        <w:rPr>
          <w:rFonts w:hint="eastAsia" w:ascii="宋体" w:hAnsi="宋体" w:eastAsia="宋体" w:cs="宋体"/>
          <w:color w:val="auto"/>
          <w:sz w:val="22"/>
          <w:szCs w:val="18"/>
          <w:highlight w:val="none"/>
          <w:lang w:eastAsia="zh-CN"/>
        </w:rPr>
        <w:t>（总得分最高）</w:t>
      </w:r>
      <w:r>
        <w:rPr>
          <w:rFonts w:hint="eastAsia" w:ascii="宋体" w:hAnsi="宋体" w:eastAsia="宋体" w:cs="宋体"/>
          <w:color w:val="auto"/>
          <w:sz w:val="22"/>
          <w:szCs w:val="18"/>
          <w:highlight w:val="none"/>
        </w:rPr>
        <w:t>。中标公示3天</w:t>
      </w:r>
      <w:r>
        <w:rPr>
          <w:rFonts w:hint="eastAsia" w:ascii="宋体" w:hAnsi="宋体" w:eastAsia="宋体" w:cs="宋体"/>
          <w:color w:val="auto"/>
          <w:sz w:val="22"/>
          <w:szCs w:val="18"/>
          <w:highlight w:val="none"/>
          <w:lang w:eastAsia="zh-CN"/>
        </w:rPr>
        <w:t>。</w:t>
      </w:r>
    </w:p>
    <w:p w14:paraId="0D709AC9">
      <w:pPr>
        <w:keepNext w:val="0"/>
        <w:keepLines w:val="0"/>
        <w:pageBreakBefore w:val="0"/>
        <w:widowControl w:val="0"/>
        <w:kinsoku/>
        <w:wordWrap/>
        <w:overflowPunct/>
        <w:topLinePunct w:val="0"/>
        <w:autoSpaceDE/>
        <w:autoSpaceDN/>
        <w:bidi w:val="0"/>
        <w:adjustRightInd/>
        <w:snapToGrid w:val="0"/>
        <w:spacing w:line="312" w:lineRule="auto"/>
        <w:ind w:left="0" w:leftChars="0" w:firstLine="440" w:firstLineChars="200"/>
        <w:textAlignment w:val="auto"/>
        <w:rPr>
          <w:rFonts w:hint="eastAsia" w:ascii="宋体" w:hAnsi="宋体" w:eastAsia="宋体" w:cs="宋体"/>
          <w:b/>
          <w:bCs/>
          <w:color w:val="auto"/>
          <w:spacing w:val="0"/>
          <w:sz w:val="22"/>
          <w:szCs w:val="22"/>
          <w:highlight w:val="none"/>
          <w:lang w:val="en-US" w:eastAsia="zh-CN"/>
        </w:rPr>
      </w:pPr>
      <w:r>
        <w:rPr>
          <w:rFonts w:hint="eastAsia" w:ascii="宋体" w:hAnsi="宋体" w:eastAsia="宋体" w:cs="宋体"/>
          <w:color w:val="auto"/>
          <w:spacing w:val="0"/>
          <w:sz w:val="22"/>
          <w:szCs w:val="22"/>
          <w:highlight w:val="none"/>
        </w:rPr>
        <w:t>排名第一的中标候选人放弃中标、因不可抗力不能履行合同、不按照招标文件要求提交履约保证金，或者被查实存在影响中标结果的违法行为等情形，不符合中标条件的，重新招标。</w:t>
      </w:r>
    </w:p>
    <w:p w14:paraId="1810DBB6">
      <w:pPr>
        <w:keepNext w:val="0"/>
        <w:keepLines w:val="0"/>
        <w:pageBreakBefore w:val="0"/>
        <w:widowControl w:val="0"/>
        <w:kinsoku/>
        <w:wordWrap/>
        <w:overflowPunct/>
        <w:topLinePunct w:val="0"/>
        <w:autoSpaceDE w:val="0"/>
        <w:autoSpaceDN w:val="0"/>
        <w:bidi w:val="0"/>
        <w:adjustRightInd/>
        <w:snapToGrid w:val="0"/>
        <w:spacing w:line="312" w:lineRule="auto"/>
        <w:ind w:firstLine="440" w:firstLineChars="200"/>
        <w:jc w:val="left"/>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2"/>
          <w:szCs w:val="22"/>
          <w:highlight w:val="none"/>
        </w:rPr>
        <w:t>确定中标候选人后，招标人应按规定公示3天，无异议的，方可发中标通知书。如在公示期间，发现有投标单位进行投诉，该投标单位应对异议和质疑举证内容的真实性负责。如投诉单位无充足理由或真实依据，则该投诉单位按扰乱招标市场的行为进行处理，并将上述行为上报相关部门。</w:t>
      </w:r>
      <w:bookmarkStart w:id="64" w:name="_Toc29389657"/>
    </w:p>
    <w:p w14:paraId="13EA9D7D">
      <w:pPr>
        <w:pStyle w:val="3"/>
        <w:keepLines w:val="0"/>
        <w:pageBreakBefore w:val="0"/>
        <w:wordWrap/>
        <w:overflowPunct/>
        <w:topLinePunct w:val="0"/>
        <w:bidi w:val="0"/>
        <w:snapToGrid w:val="0"/>
        <w:spacing w:before="0" w:after="0" w:line="312" w:lineRule="auto"/>
        <w:rPr>
          <w:color w:val="auto"/>
          <w:sz w:val="32"/>
          <w:szCs w:val="32"/>
          <w:highlight w:val="none"/>
        </w:rPr>
      </w:pPr>
      <w:bookmarkStart w:id="65" w:name="_Toc7998"/>
      <w:r>
        <w:rPr>
          <w:rFonts w:hint="eastAsia"/>
          <w:color w:val="auto"/>
          <w:sz w:val="32"/>
          <w:szCs w:val="32"/>
          <w:highlight w:val="none"/>
          <w:lang w:eastAsia="zh-CN"/>
        </w:rPr>
        <w:t>九</w:t>
      </w:r>
      <w:r>
        <w:rPr>
          <w:rFonts w:hint="eastAsia"/>
          <w:color w:val="auto"/>
          <w:sz w:val="32"/>
          <w:szCs w:val="32"/>
          <w:highlight w:val="none"/>
        </w:rPr>
        <w:t>、授予合同</w:t>
      </w:r>
      <w:bookmarkEnd w:id="64"/>
      <w:bookmarkEnd w:id="65"/>
    </w:p>
    <w:p w14:paraId="4D3C5AC9">
      <w:pPr>
        <w:keepNext w:val="0"/>
        <w:keepLines w:val="0"/>
        <w:pageBreakBefore w:val="0"/>
        <w:widowControl w:val="0"/>
        <w:kinsoku/>
        <w:wordWrap/>
        <w:overflowPunct/>
        <w:topLinePunct w:val="0"/>
        <w:autoSpaceDE/>
        <w:autoSpaceDN/>
        <w:bidi w:val="0"/>
        <w:adjustRightInd/>
        <w:snapToGrid w:val="0"/>
        <w:spacing w:line="312" w:lineRule="auto"/>
        <w:ind w:right="44" w:firstLine="442" w:firstLineChars="200"/>
        <w:jc w:val="left"/>
        <w:textAlignment w:val="auto"/>
        <w:outlineLvl w:val="6"/>
        <w:rPr>
          <w:rFonts w:ascii="宋体" w:hAnsi="宋体" w:cs="Times New Roman"/>
          <w:b/>
          <w:bCs/>
          <w:color w:val="auto"/>
          <w:sz w:val="22"/>
          <w:szCs w:val="22"/>
          <w:highlight w:val="none"/>
        </w:rPr>
      </w:pPr>
      <w:r>
        <w:rPr>
          <w:rFonts w:ascii="宋体" w:hAnsi="宋体" w:cs="Times New Roman"/>
          <w:b/>
          <w:bCs/>
          <w:color w:val="auto"/>
          <w:sz w:val="22"/>
          <w:szCs w:val="22"/>
          <w:highlight w:val="none"/>
        </w:rPr>
        <w:t>一、中标通知书</w:t>
      </w:r>
    </w:p>
    <w:p w14:paraId="121020DA">
      <w:pPr>
        <w:keepNext w:val="0"/>
        <w:keepLines w:val="0"/>
        <w:pageBreakBefore w:val="0"/>
        <w:widowControl w:val="0"/>
        <w:kinsoku/>
        <w:wordWrap/>
        <w:overflowPunct/>
        <w:topLinePunct w:val="0"/>
        <w:autoSpaceDE/>
        <w:autoSpaceDN/>
        <w:bidi w:val="0"/>
        <w:adjustRightInd/>
        <w:snapToGrid w:val="0"/>
        <w:spacing w:line="312" w:lineRule="auto"/>
        <w:ind w:right="44" w:firstLine="440" w:firstLineChars="200"/>
        <w:jc w:val="left"/>
        <w:textAlignment w:val="auto"/>
        <w:outlineLvl w:val="6"/>
        <w:rPr>
          <w:rFonts w:ascii="宋体" w:hAnsi="宋体" w:cs="Times New Roman"/>
          <w:color w:val="auto"/>
          <w:sz w:val="22"/>
          <w:szCs w:val="22"/>
          <w:highlight w:val="none"/>
        </w:rPr>
      </w:pPr>
      <w:r>
        <w:rPr>
          <w:rFonts w:hint="eastAsia" w:ascii="宋体" w:hAnsi="宋体"/>
          <w:color w:val="auto"/>
          <w:sz w:val="22"/>
          <w:szCs w:val="22"/>
          <w:highlight w:val="none"/>
        </w:rPr>
        <w:t>招标人应及时将中标通知书发放给中标候选人</w:t>
      </w:r>
      <w:r>
        <w:rPr>
          <w:rFonts w:hint="eastAsia" w:ascii="宋体" w:hAnsi="宋体"/>
          <w:color w:val="auto"/>
          <w:kern w:val="0"/>
          <w:sz w:val="22"/>
          <w:szCs w:val="22"/>
          <w:highlight w:val="none"/>
        </w:rPr>
        <w:t>，同时将中标结果通知所有未中标的投标人，中标通知书将成为合同的主要附件</w:t>
      </w:r>
      <w:r>
        <w:rPr>
          <w:rFonts w:hint="eastAsia" w:ascii="宋体" w:hAnsi="宋体" w:cs="Times New Roman"/>
          <w:color w:val="auto"/>
          <w:sz w:val="22"/>
          <w:szCs w:val="22"/>
          <w:highlight w:val="none"/>
        </w:rPr>
        <w:t>。</w:t>
      </w:r>
    </w:p>
    <w:p w14:paraId="5BA6A8FA">
      <w:pPr>
        <w:keepNext w:val="0"/>
        <w:keepLines w:val="0"/>
        <w:pageBreakBefore w:val="0"/>
        <w:widowControl w:val="0"/>
        <w:kinsoku/>
        <w:wordWrap/>
        <w:overflowPunct/>
        <w:topLinePunct w:val="0"/>
        <w:autoSpaceDE/>
        <w:autoSpaceDN/>
        <w:bidi w:val="0"/>
        <w:adjustRightInd/>
        <w:snapToGrid w:val="0"/>
        <w:spacing w:line="312" w:lineRule="auto"/>
        <w:ind w:right="44" w:firstLine="442" w:firstLineChars="200"/>
        <w:jc w:val="left"/>
        <w:textAlignment w:val="auto"/>
        <w:outlineLvl w:val="6"/>
        <w:rPr>
          <w:rFonts w:ascii="宋体" w:hAnsi="宋体" w:cs="Times New Roman"/>
          <w:b/>
          <w:bCs/>
          <w:color w:val="auto"/>
          <w:sz w:val="22"/>
          <w:szCs w:val="22"/>
          <w:highlight w:val="none"/>
        </w:rPr>
      </w:pPr>
      <w:r>
        <w:rPr>
          <w:rFonts w:ascii="宋体" w:hAnsi="宋体" w:cs="Times New Roman"/>
          <w:b/>
          <w:bCs/>
          <w:color w:val="auto"/>
          <w:sz w:val="22"/>
          <w:szCs w:val="22"/>
          <w:highlight w:val="none"/>
        </w:rPr>
        <w:t>二、合同签订</w:t>
      </w:r>
    </w:p>
    <w:p w14:paraId="13C546F3">
      <w:pPr>
        <w:keepNext w:val="0"/>
        <w:keepLines w:val="0"/>
        <w:pageBreakBefore w:val="0"/>
        <w:widowControl w:val="0"/>
        <w:kinsoku/>
        <w:wordWrap/>
        <w:overflowPunct/>
        <w:topLinePunct w:val="0"/>
        <w:autoSpaceDE/>
        <w:autoSpaceDN/>
        <w:bidi w:val="0"/>
        <w:adjustRightInd/>
        <w:snapToGrid w:val="0"/>
        <w:spacing w:line="312" w:lineRule="auto"/>
        <w:ind w:firstLine="440" w:firstLineChars="200"/>
        <w:jc w:val="left"/>
        <w:textAlignment w:val="auto"/>
        <w:rPr>
          <w:rFonts w:hint="eastAsia" w:ascii="宋体" w:hAnsi="宋体" w:eastAsia="宋体" w:cs="宋体"/>
          <w:b/>
          <w:color w:val="auto"/>
          <w:sz w:val="48"/>
          <w:szCs w:val="48"/>
          <w:highlight w:val="none"/>
          <w:lang w:val="zh-CN"/>
        </w:rPr>
      </w:pPr>
      <w:bookmarkStart w:id="66" w:name="_Toc3990"/>
      <w:r>
        <w:rPr>
          <w:rFonts w:hint="eastAsia" w:ascii="宋体" w:hAnsi="宋体" w:cs="Times New Roman"/>
          <w:color w:val="auto"/>
          <w:sz w:val="22"/>
          <w:szCs w:val="22"/>
          <w:highlight w:val="none"/>
          <w:lang w:eastAsia="zh-CN"/>
        </w:rPr>
        <w:t>中</w:t>
      </w:r>
      <w:r>
        <w:rPr>
          <w:rFonts w:hint="eastAsia" w:ascii="宋体" w:hAnsi="宋体" w:cs="Times New Roman"/>
          <w:color w:val="auto"/>
          <w:sz w:val="22"/>
          <w:szCs w:val="22"/>
          <w:highlight w:val="none"/>
        </w:rPr>
        <w:t>标人应在中标确认后30天内与招标人根据《</w:t>
      </w:r>
      <w:r>
        <w:rPr>
          <w:rFonts w:hint="eastAsia" w:ascii="宋体" w:hAnsi="宋体" w:cs="Times New Roman"/>
          <w:color w:val="auto"/>
          <w:sz w:val="22"/>
          <w:szCs w:val="22"/>
          <w:highlight w:val="none"/>
          <w:lang w:eastAsia="zh-CN"/>
        </w:rPr>
        <w:t>中华人民共和国民法典</w:t>
      </w:r>
      <w:r>
        <w:rPr>
          <w:rFonts w:hint="eastAsia" w:ascii="宋体" w:hAnsi="宋体" w:cs="Times New Roman"/>
          <w:color w:val="auto"/>
          <w:sz w:val="22"/>
          <w:szCs w:val="22"/>
          <w:highlight w:val="none"/>
        </w:rPr>
        <w:t>》及相关文件的规定，依据招标文件、投标文件签订合同，逾期不签订的视为违约。</w:t>
      </w:r>
      <w:bookmarkEnd w:id="66"/>
    </w:p>
    <w:p w14:paraId="2E447057">
      <w:pPr>
        <w:rPr>
          <w:rFonts w:hint="eastAsia" w:ascii="宋体" w:hAnsi="宋体" w:eastAsia="宋体" w:cs="宋体"/>
          <w:b/>
          <w:bCs w:val="0"/>
          <w:color w:val="auto"/>
          <w:sz w:val="32"/>
          <w:szCs w:val="32"/>
          <w:highlight w:val="none"/>
        </w:rPr>
      </w:pPr>
      <w:bookmarkStart w:id="67" w:name="_Toc29389660"/>
      <w:bookmarkStart w:id="68" w:name="_Toc16666"/>
      <w:r>
        <w:rPr>
          <w:rFonts w:hint="eastAsia" w:ascii="宋体" w:hAnsi="宋体" w:eastAsia="宋体" w:cs="宋体"/>
          <w:b/>
          <w:bCs w:val="0"/>
          <w:color w:val="auto"/>
          <w:sz w:val="32"/>
          <w:szCs w:val="32"/>
          <w:highlight w:val="none"/>
        </w:rPr>
        <w:br w:type="page"/>
      </w:r>
    </w:p>
    <w:p w14:paraId="71170419">
      <w:pPr>
        <w:keepLines w:val="0"/>
        <w:pageBreakBefore w:val="0"/>
        <w:wordWrap/>
        <w:topLinePunct w:val="0"/>
        <w:bidi w:val="0"/>
        <w:spacing w:line="440" w:lineRule="exact"/>
        <w:jc w:val="center"/>
        <w:rPr>
          <w:rFonts w:hint="eastAsia" w:ascii="宋体" w:hAnsi="宋体" w:eastAsia="宋体" w:cs="宋体"/>
          <w:b/>
          <w:bCs/>
          <w:color w:val="auto"/>
          <w:spacing w:val="8"/>
          <w:sz w:val="21"/>
          <w:szCs w:val="21"/>
          <w:highlight w:val="none"/>
          <w:lang w:eastAsia="zh-CN"/>
        </w:rPr>
      </w:pPr>
      <w:r>
        <w:rPr>
          <w:rFonts w:hint="eastAsia" w:ascii="宋体" w:hAnsi="宋体" w:eastAsia="宋体" w:cs="宋体"/>
          <w:b/>
          <w:bCs w:val="0"/>
          <w:color w:val="auto"/>
          <w:sz w:val="32"/>
          <w:szCs w:val="32"/>
          <w:highlight w:val="none"/>
        </w:rPr>
        <w:t xml:space="preserve">第三章 </w:t>
      </w:r>
      <w:r>
        <w:rPr>
          <w:rFonts w:hint="eastAsia" w:ascii="宋体" w:hAnsi="宋体" w:eastAsia="宋体" w:cs="宋体"/>
          <w:b/>
          <w:bCs w:val="0"/>
          <w:color w:val="auto"/>
          <w:spacing w:val="8"/>
          <w:sz w:val="32"/>
          <w:szCs w:val="32"/>
          <w:highlight w:val="none"/>
        </w:rPr>
        <w:t>合同</w:t>
      </w:r>
      <w:r>
        <w:rPr>
          <w:rFonts w:hint="eastAsia" w:ascii="宋体" w:hAnsi="宋体" w:cs="宋体"/>
          <w:b/>
          <w:bCs w:val="0"/>
          <w:color w:val="auto"/>
          <w:spacing w:val="8"/>
          <w:sz w:val="32"/>
          <w:szCs w:val="32"/>
          <w:highlight w:val="none"/>
          <w:lang w:eastAsia="zh-CN"/>
        </w:rPr>
        <w:t>主要条款</w:t>
      </w:r>
    </w:p>
    <w:p w14:paraId="6E5CB937">
      <w:pPr>
        <w:pStyle w:val="2"/>
        <w:keepLines w:val="0"/>
        <w:pageBreakBefore w:val="0"/>
        <w:numPr>
          <w:ilvl w:val="0"/>
          <w:numId w:val="0"/>
        </w:numPr>
        <w:kinsoku w:val="0"/>
        <w:wordWrap/>
        <w:overflowPunct w:val="0"/>
        <w:topLinePunct w:val="0"/>
        <w:bidi w:val="0"/>
        <w:snapToGrid w:val="0"/>
        <w:spacing w:before="0" w:after="0" w:line="312" w:lineRule="auto"/>
        <w:jc w:val="left"/>
        <w:textAlignment w:val="auto"/>
        <w:rPr>
          <w:rFonts w:hint="eastAsia" w:ascii="宋体" w:hAnsi="宋体" w:cs="宋体"/>
          <w:bCs/>
          <w:color w:val="auto"/>
          <w:sz w:val="22"/>
          <w:szCs w:val="22"/>
          <w:highlight w:val="none"/>
          <w:lang w:eastAsia="zh-CN"/>
        </w:rPr>
      </w:pPr>
    </w:p>
    <w:p w14:paraId="4C66337A">
      <w:pPr>
        <w:pStyle w:val="2"/>
        <w:keepLines w:val="0"/>
        <w:pageBreakBefore w:val="0"/>
        <w:numPr>
          <w:ilvl w:val="0"/>
          <w:numId w:val="0"/>
        </w:numPr>
        <w:kinsoku w:val="0"/>
        <w:wordWrap/>
        <w:overflowPunct w:val="0"/>
        <w:topLinePunct w:val="0"/>
        <w:bidi w:val="0"/>
        <w:snapToGrid w:val="0"/>
        <w:spacing w:before="0" w:after="0" w:line="312" w:lineRule="auto"/>
        <w:jc w:val="left"/>
        <w:textAlignment w:val="auto"/>
        <w:rPr>
          <w:rFonts w:hint="eastAsia" w:ascii="宋体" w:hAnsi="宋体" w:eastAsia="宋体" w:cs="宋体"/>
          <w:bCs/>
          <w:color w:val="auto"/>
          <w:sz w:val="22"/>
          <w:szCs w:val="22"/>
          <w:highlight w:val="none"/>
          <w:lang w:eastAsia="zh-CN"/>
        </w:rPr>
      </w:pPr>
      <w:r>
        <w:rPr>
          <w:rFonts w:hint="eastAsia" w:ascii="宋体" w:hAnsi="宋体" w:cs="宋体"/>
          <w:bCs/>
          <w:color w:val="auto"/>
          <w:sz w:val="22"/>
          <w:szCs w:val="22"/>
          <w:highlight w:val="none"/>
          <w:lang w:eastAsia="zh-CN"/>
        </w:rPr>
        <w:t>一、项目</w:t>
      </w:r>
      <w:r>
        <w:rPr>
          <w:rFonts w:hint="eastAsia" w:ascii="宋体" w:hAnsi="宋体" w:eastAsia="宋体" w:cs="宋体"/>
          <w:bCs/>
          <w:color w:val="auto"/>
          <w:sz w:val="22"/>
          <w:szCs w:val="22"/>
          <w:highlight w:val="none"/>
        </w:rPr>
        <w:t>概况</w:t>
      </w:r>
    </w:p>
    <w:p w14:paraId="3F2B8E97">
      <w:pPr>
        <w:pStyle w:val="8"/>
        <w:keepLines w:val="0"/>
        <w:pageBreakBefore w:val="0"/>
        <w:tabs>
          <w:tab w:val="left" w:pos="3387"/>
          <w:tab w:val="left" w:pos="5213"/>
        </w:tabs>
        <w:kinsoku w:val="0"/>
        <w:wordWrap/>
        <w:overflowPunct w:val="0"/>
        <w:topLinePunct w:val="0"/>
        <w:autoSpaceDE w:val="0"/>
        <w:autoSpaceDN w:val="0"/>
        <w:bidi w:val="0"/>
        <w:adjustRightInd w:val="0"/>
        <w:snapToGrid w:val="0"/>
        <w:spacing w:after="0" w:line="312" w:lineRule="auto"/>
        <w:ind w:firstLine="384" w:firstLineChars="184"/>
        <w:textAlignment w:val="auto"/>
        <w:rPr>
          <w:rFonts w:hint="eastAsia" w:ascii="宋体" w:hAnsi="宋体" w:eastAsia="宋体" w:cs="宋体"/>
          <w:color w:val="auto"/>
          <w:sz w:val="22"/>
          <w:szCs w:val="22"/>
          <w:highlight w:val="none"/>
        </w:rPr>
      </w:pPr>
      <w:r>
        <w:rPr>
          <w:rFonts w:hint="eastAsia" w:ascii="宋体" w:hAnsi="宋体" w:eastAsia="宋体" w:cs="宋体"/>
          <w:color w:val="auto"/>
          <w:w w:val="95"/>
          <w:sz w:val="22"/>
          <w:szCs w:val="22"/>
          <w:highlight w:val="none"/>
        </w:rPr>
        <w:t>1、</w:t>
      </w:r>
      <w:r>
        <w:rPr>
          <w:rFonts w:hint="eastAsia" w:ascii="宋体" w:hAnsi="宋体" w:eastAsia="宋体" w:cs="宋体"/>
          <w:color w:val="auto"/>
          <w:sz w:val="22"/>
          <w:szCs w:val="22"/>
          <w:highlight w:val="none"/>
          <w:lang w:eastAsia="zh-CN"/>
        </w:rPr>
        <w:t>项目</w:t>
      </w:r>
      <w:r>
        <w:rPr>
          <w:rFonts w:hint="eastAsia" w:ascii="宋体" w:hAnsi="宋体" w:eastAsia="宋体" w:cs="宋体"/>
          <w:color w:val="auto"/>
          <w:sz w:val="22"/>
          <w:szCs w:val="22"/>
          <w:highlight w:val="none"/>
        </w:rPr>
        <w:t>名称：</w:t>
      </w:r>
      <w:r>
        <w:rPr>
          <w:rFonts w:hint="eastAsia" w:ascii="宋体" w:hAnsi="宋体" w:eastAsia="宋体" w:cs="宋体"/>
          <w:color w:val="auto"/>
          <w:sz w:val="22"/>
          <w:szCs w:val="22"/>
          <w:highlight w:val="none"/>
          <w:u w:val="single" w:color="000000"/>
          <w:lang w:eastAsia="zh-CN"/>
        </w:rPr>
        <w:t>绍兴市第七人民医院新院区建设工程</w:t>
      </w:r>
      <w:r>
        <w:rPr>
          <w:rFonts w:hint="eastAsia" w:ascii="宋体" w:hAnsi="宋体" w:eastAsia="宋体" w:cs="宋体"/>
          <w:color w:val="auto"/>
          <w:sz w:val="22"/>
          <w:szCs w:val="22"/>
          <w:highlight w:val="none"/>
          <w:u w:val="single" w:color="000000"/>
          <w:lang w:val="en-US" w:eastAsia="zh-CN"/>
        </w:rPr>
        <w:t>室内分布系统</w:t>
      </w:r>
      <w:r>
        <w:rPr>
          <w:rFonts w:hint="eastAsia" w:ascii="宋体" w:hAnsi="宋体" w:eastAsia="宋体" w:cs="宋体"/>
          <w:color w:val="auto"/>
          <w:sz w:val="22"/>
          <w:szCs w:val="22"/>
          <w:highlight w:val="none"/>
          <w:u w:val="single" w:color="000000"/>
          <w:lang w:eastAsia="zh-CN"/>
        </w:rPr>
        <w:t>项目</w:t>
      </w:r>
    </w:p>
    <w:p w14:paraId="1F1D8CD3">
      <w:pPr>
        <w:pStyle w:val="8"/>
        <w:keepLines w:val="0"/>
        <w:pageBreakBefore w:val="0"/>
        <w:tabs>
          <w:tab w:val="left" w:pos="5213"/>
        </w:tabs>
        <w:kinsoku w:val="0"/>
        <w:wordWrap/>
        <w:overflowPunct w:val="0"/>
        <w:topLinePunct w:val="0"/>
        <w:autoSpaceDE w:val="0"/>
        <w:autoSpaceDN w:val="0"/>
        <w:bidi w:val="0"/>
        <w:adjustRightInd w:val="0"/>
        <w:snapToGrid w:val="0"/>
        <w:spacing w:after="0" w:line="312" w:lineRule="auto"/>
        <w:ind w:firstLine="404" w:firstLineChars="184"/>
        <w:textAlignment w:val="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2、建设地点：</w:t>
      </w:r>
      <w:r>
        <w:rPr>
          <w:rFonts w:hint="eastAsia" w:ascii="宋体" w:hAnsi="宋体" w:eastAsia="宋体" w:cs="宋体"/>
          <w:color w:val="auto"/>
          <w:sz w:val="22"/>
          <w:szCs w:val="22"/>
          <w:highlight w:val="none"/>
          <w:u w:val="single" w:color="000000"/>
          <w:lang w:val="en-US" w:eastAsia="zh-CN"/>
        </w:rPr>
        <w:t>项目位于越城区东浦街道、东至滚塘，南至十公溇，西至二环西路高架，北至西郊路。</w:t>
      </w:r>
    </w:p>
    <w:p w14:paraId="55FAB6CF">
      <w:pPr>
        <w:pStyle w:val="8"/>
        <w:keepLines w:val="0"/>
        <w:pageBreakBefore w:val="0"/>
        <w:tabs>
          <w:tab w:val="left" w:pos="5444"/>
        </w:tabs>
        <w:kinsoku w:val="0"/>
        <w:wordWrap/>
        <w:overflowPunct w:val="0"/>
        <w:topLinePunct w:val="0"/>
        <w:autoSpaceDE w:val="0"/>
        <w:autoSpaceDN w:val="0"/>
        <w:bidi w:val="0"/>
        <w:adjustRightInd w:val="0"/>
        <w:snapToGrid w:val="0"/>
        <w:spacing w:after="0" w:line="312" w:lineRule="auto"/>
        <w:ind w:firstLine="404" w:firstLineChars="184"/>
        <w:textAlignment w:val="auto"/>
        <w:rPr>
          <w:rFonts w:hint="eastAsia" w:ascii="宋体" w:hAnsi="宋体" w:eastAsia="宋体" w:cs="宋体"/>
          <w:color w:val="auto"/>
          <w:sz w:val="22"/>
          <w:szCs w:val="22"/>
          <w:highlight w:val="none"/>
          <w:u w:val="single" w:color="000000"/>
        </w:rPr>
      </w:pPr>
      <w:r>
        <w:rPr>
          <w:rFonts w:hint="eastAsia" w:ascii="宋体" w:hAnsi="宋体" w:eastAsia="宋体" w:cs="宋体"/>
          <w:color w:val="auto"/>
          <w:sz w:val="22"/>
          <w:szCs w:val="22"/>
          <w:highlight w:val="none"/>
        </w:rPr>
        <w:t>3、</w:t>
      </w:r>
      <w:r>
        <w:rPr>
          <w:rFonts w:hint="eastAsia" w:ascii="宋体" w:hAnsi="宋体" w:cs="宋体"/>
          <w:color w:val="auto"/>
          <w:sz w:val="22"/>
          <w:szCs w:val="22"/>
          <w:highlight w:val="none"/>
          <w:lang w:eastAsia="zh-CN"/>
        </w:rPr>
        <w:t>建设规模</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u w:val="single" w:color="000000"/>
          <w:lang w:val="en-US" w:eastAsia="zh-CN"/>
        </w:rPr>
        <w:t>项目总建筑面积约 107608.36平方米，其中：地上建筑面积约70902.49平方米，地下建筑面积约36705.87平方米。项目按三甲精神专科医院标准建设，设置床位800张，新建设备用房、科研办公楼、综合门诊楼、综合住院楼、心身医学中心等</w:t>
      </w:r>
      <w:r>
        <w:rPr>
          <w:rFonts w:hint="eastAsia" w:ascii="宋体" w:hAnsi="宋体" w:eastAsia="宋体" w:cs="宋体"/>
          <w:color w:val="auto"/>
          <w:sz w:val="22"/>
          <w:szCs w:val="22"/>
          <w:highlight w:val="none"/>
          <w:u w:val="single" w:color="000000"/>
        </w:rPr>
        <w:t>。</w:t>
      </w:r>
    </w:p>
    <w:p w14:paraId="4C65A0AC">
      <w:pPr>
        <w:pStyle w:val="8"/>
        <w:keepLines w:val="0"/>
        <w:pageBreakBefore w:val="0"/>
        <w:tabs>
          <w:tab w:val="left" w:pos="5444"/>
        </w:tabs>
        <w:kinsoku w:val="0"/>
        <w:wordWrap/>
        <w:overflowPunct w:val="0"/>
        <w:topLinePunct w:val="0"/>
        <w:autoSpaceDE w:val="0"/>
        <w:autoSpaceDN w:val="0"/>
        <w:bidi w:val="0"/>
        <w:adjustRightInd w:val="0"/>
        <w:snapToGrid w:val="0"/>
        <w:spacing w:after="0" w:line="312" w:lineRule="auto"/>
        <w:ind w:firstLine="404" w:firstLineChars="184"/>
        <w:textAlignment w:val="auto"/>
        <w:rPr>
          <w:rFonts w:hint="eastAsia" w:ascii="宋体" w:hAnsi="宋体" w:eastAsia="宋体" w:cs="宋体"/>
          <w:color w:val="auto"/>
          <w:sz w:val="22"/>
          <w:szCs w:val="22"/>
          <w:highlight w:val="none"/>
          <w:u w:val="single" w:color="000000"/>
          <w:lang w:val="en-US" w:eastAsia="zh-CN"/>
        </w:rPr>
      </w:pPr>
      <w:r>
        <w:rPr>
          <w:rFonts w:hint="eastAsia" w:ascii="宋体" w:hAnsi="宋体" w:cs="宋体"/>
          <w:color w:val="auto"/>
          <w:sz w:val="22"/>
          <w:szCs w:val="22"/>
          <w:highlight w:val="none"/>
          <w:u w:val="none" w:color="auto"/>
          <w:lang w:val="en-US" w:eastAsia="zh-CN"/>
        </w:rPr>
        <w:t>4、合同内容：</w:t>
      </w:r>
      <w:r>
        <w:rPr>
          <w:rFonts w:hint="eastAsia" w:ascii="宋体" w:hAnsi="宋体" w:eastAsia="宋体" w:cs="宋体"/>
          <w:color w:val="auto"/>
          <w:sz w:val="22"/>
          <w:szCs w:val="22"/>
          <w:highlight w:val="none"/>
          <w:u w:val="single" w:color="000000"/>
          <w:lang w:val="en-US" w:eastAsia="zh-CN"/>
        </w:rPr>
        <w:t>绍兴市第七人民医院新院区建设工程室内分布专业图纸范围内的地下车库（B1F+B2F）、南区平层、北区平层、电梯设施等的分布线系统所有内容，包括设备采购、室内分布施工图的进一步深化设计、预埋管、套管及其封堵、设备材料供货、运输、卸货、保管、安装、调试、检测、并最终通过验收，取得《准予接入公用电信网通知书》（无线室分），提交相关技术资料以及质保期内的维修保养等。</w:t>
      </w:r>
    </w:p>
    <w:p w14:paraId="492ED040">
      <w:pPr>
        <w:pStyle w:val="8"/>
        <w:keepLines w:val="0"/>
        <w:pageBreakBefore w:val="0"/>
        <w:tabs>
          <w:tab w:val="left" w:pos="5444"/>
        </w:tabs>
        <w:kinsoku w:val="0"/>
        <w:wordWrap/>
        <w:overflowPunct w:val="0"/>
        <w:topLinePunct w:val="0"/>
        <w:autoSpaceDE w:val="0"/>
        <w:autoSpaceDN w:val="0"/>
        <w:bidi w:val="0"/>
        <w:adjustRightInd w:val="0"/>
        <w:snapToGrid w:val="0"/>
        <w:spacing w:after="0" w:line="312" w:lineRule="auto"/>
        <w:ind w:firstLine="404" w:firstLineChars="184"/>
        <w:textAlignment w:val="auto"/>
        <w:rPr>
          <w:rFonts w:hint="eastAsia" w:ascii="宋体" w:hAnsi="宋体" w:eastAsia="宋体" w:cs="宋体"/>
          <w:color w:val="auto"/>
          <w:sz w:val="22"/>
          <w:szCs w:val="22"/>
          <w:highlight w:val="none"/>
          <w:u w:val="single" w:color="000000"/>
          <w:lang w:val="en-US" w:eastAsia="zh-CN"/>
        </w:rPr>
      </w:pPr>
      <w:r>
        <w:rPr>
          <w:rFonts w:hint="eastAsia" w:ascii="宋体" w:hAnsi="宋体" w:eastAsia="宋体" w:cs="宋体"/>
          <w:color w:val="auto"/>
          <w:sz w:val="22"/>
          <w:szCs w:val="22"/>
          <w:highlight w:val="none"/>
          <w:u w:val="single" w:color="000000"/>
          <w:lang w:val="en-US" w:eastAsia="zh-CN"/>
        </w:rPr>
        <w:t>如图纸需二次深化，中标人需自行或委托有设计资质的单位对图纸进行二次深化(中标之前设计院未修改到位的，需由中标人负责深化，投标时承诺的信号提升方案需由中标人负责深化)，要求二次深化图加盖相应资质的章，经总包设计院审核认可并盖章，且优化方案必须经过招标人认可方能最终实施(如有图纸、清单不明确或缺项的内容须无条件按招标人要求进行设计和施工，并最终通过验收)，各种相关一切费用不再增加。图纸中设备或材料若已有变更升级的，则相应设备或材料需变更为升级后的设备或材料并经招标人同意，费用也不再增加。招标人有权增减工作范围，该费用应予以增减。</w:t>
      </w:r>
    </w:p>
    <w:p w14:paraId="15A5C317">
      <w:pPr>
        <w:pStyle w:val="8"/>
        <w:keepLines w:val="0"/>
        <w:pageBreakBefore w:val="0"/>
        <w:tabs>
          <w:tab w:val="left" w:pos="5444"/>
        </w:tabs>
        <w:kinsoku w:val="0"/>
        <w:wordWrap/>
        <w:overflowPunct w:val="0"/>
        <w:topLinePunct w:val="0"/>
        <w:autoSpaceDE w:val="0"/>
        <w:autoSpaceDN w:val="0"/>
        <w:bidi w:val="0"/>
        <w:adjustRightInd w:val="0"/>
        <w:snapToGrid w:val="0"/>
        <w:spacing w:after="0" w:line="312" w:lineRule="auto"/>
        <w:ind w:firstLine="404" w:firstLineChars="184"/>
        <w:textAlignment w:val="auto"/>
        <w:rPr>
          <w:rFonts w:hint="default" w:ascii="宋体" w:hAnsi="宋体" w:eastAsia="宋体" w:cs="宋体"/>
          <w:color w:val="auto"/>
          <w:sz w:val="22"/>
          <w:szCs w:val="22"/>
          <w:highlight w:val="none"/>
          <w:u w:val="single" w:color="000000"/>
          <w:lang w:val="en-US" w:eastAsia="zh-CN"/>
        </w:rPr>
      </w:pPr>
      <w:r>
        <w:rPr>
          <w:rFonts w:hint="eastAsia" w:ascii="宋体" w:hAnsi="宋体" w:eastAsia="宋体" w:cs="宋体"/>
          <w:color w:val="auto"/>
          <w:sz w:val="22"/>
          <w:szCs w:val="22"/>
          <w:highlight w:val="none"/>
          <w:u w:val="none" w:color="auto"/>
          <w:lang w:val="en-US" w:eastAsia="zh-CN"/>
        </w:rPr>
        <w:t>5、项目工期:</w:t>
      </w:r>
      <w:r>
        <w:rPr>
          <w:rFonts w:hint="eastAsia" w:ascii="宋体" w:hAnsi="宋体" w:eastAsia="宋体" w:cs="宋体"/>
          <w:color w:val="auto"/>
          <w:sz w:val="22"/>
          <w:szCs w:val="22"/>
          <w:highlight w:val="none"/>
          <w:u w:val="single" w:color="000000"/>
          <w:lang w:val="en-US" w:eastAsia="zh-CN"/>
        </w:rPr>
        <w:t>90日历天，并不得影响总包总进度计划（以招标人发出的开工指令为准，至本项目取得《准予接入公用电信网通知书》（无线室分）之日止）。</w:t>
      </w:r>
    </w:p>
    <w:p w14:paraId="7C729592">
      <w:pPr>
        <w:pStyle w:val="8"/>
        <w:keepLines w:val="0"/>
        <w:pageBreakBefore w:val="0"/>
        <w:tabs>
          <w:tab w:val="left" w:pos="5444"/>
        </w:tabs>
        <w:kinsoku w:val="0"/>
        <w:wordWrap/>
        <w:overflowPunct w:val="0"/>
        <w:topLinePunct w:val="0"/>
        <w:autoSpaceDE w:val="0"/>
        <w:autoSpaceDN w:val="0"/>
        <w:bidi w:val="0"/>
        <w:adjustRightInd w:val="0"/>
        <w:snapToGrid w:val="0"/>
        <w:spacing w:after="0" w:line="312" w:lineRule="auto"/>
        <w:ind w:firstLine="404" w:firstLineChars="184"/>
        <w:textAlignment w:val="auto"/>
        <w:rPr>
          <w:rFonts w:hint="eastAsia" w:eastAsia="宋体"/>
          <w:highlight w:val="none"/>
          <w:lang w:val="en-US" w:eastAsia="zh-CN"/>
        </w:rPr>
      </w:pPr>
      <w:r>
        <w:rPr>
          <w:rFonts w:hint="eastAsia" w:ascii="宋体" w:hAnsi="宋体" w:cs="宋体"/>
          <w:color w:val="auto"/>
          <w:sz w:val="22"/>
          <w:szCs w:val="22"/>
          <w:highlight w:val="none"/>
          <w:u w:val="none" w:color="auto"/>
          <w:lang w:val="en-US" w:eastAsia="zh-CN"/>
        </w:rPr>
        <w:t>6、</w:t>
      </w:r>
      <w:r>
        <w:rPr>
          <w:rFonts w:hint="eastAsia" w:ascii="宋体" w:hAnsi="宋体" w:eastAsia="宋体" w:cs="宋体"/>
          <w:color w:val="auto"/>
          <w:sz w:val="22"/>
          <w:szCs w:val="22"/>
          <w:highlight w:val="none"/>
          <w:u w:val="none" w:color="auto"/>
          <w:lang w:val="en-US" w:eastAsia="zh-CN"/>
        </w:rPr>
        <w:t>质量要求：</w:t>
      </w:r>
      <w:r>
        <w:rPr>
          <w:rFonts w:hint="eastAsia" w:ascii="宋体" w:hAnsi="宋体" w:eastAsia="宋体" w:cs="宋体"/>
          <w:color w:val="auto"/>
          <w:sz w:val="22"/>
          <w:szCs w:val="22"/>
          <w:highlight w:val="none"/>
          <w:u w:val="single" w:color="auto"/>
          <w:lang w:val="en-US" w:eastAsia="zh-CN"/>
        </w:rPr>
        <w:t>合格并取得《准予接入公用电信网通知书》（无线室分）。</w:t>
      </w:r>
    </w:p>
    <w:p w14:paraId="47968D68">
      <w:pPr>
        <w:pStyle w:val="2"/>
        <w:keepLines w:val="0"/>
        <w:pageBreakBefore w:val="0"/>
        <w:numPr>
          <w:ilvl w:val="0"/>
          <w:numId w:val="0"/>
        </w:numPr>
        <w:kinsoku w:val="0"/>
        <w:wordWrap/>
        <w:overflowPunct w:val="0"/>
        <w:topLinePunct w:val="0"/>
        <w:bidi w:val="0"/>
        <w:snapToGrid w:val="0"/>
        <w:spacing w:before="0" w:after="0" w:line="312" w:lineRule="auto"/>
        <w:jc w:val="left"/>
        <w:textAlignment w:val="auto"/>
        <w:rPr>
          <w:rFonts w:hint="eastAsia" w:ascii="宋体" w:hAnsi="宋体" w:eastAsia="宋体" w:cs="宋体"/>
          <w:bCs/>
          <w:color w:val="auto"/>
          <w:sz w:val="22"/>
          <w:szCs w:val="22"/>
          <w:highlight w:val="none"/>
          <w:lang w:val="zh-CN"/>
        </w:rPr>
      </w:pPr>
      <w:r>
        <w:rPr>
          <w:rFonts w:hint="eastAsia" w:ascii="宋体" w:hAnsi="宋体" w:cs="宋体"/>
          <w:bCs/>
          <w:color w:val="auto"/>
          <w:sz w:val="22"/>
          <w:szCs w:val="22"/>
          <w:highlight w:val="none"/>
          <w:lang w:eastAsia="zh-CN"/>
        </w:rPr>
        <w:t>二、</w:t>
      </w:r>
      <w:r>
        <w:rPr>
          <w:rFonts w:hint="eastAsia" w:ascii="宋体" w:hAnsi="宋体" w:eastAsia="宋体" w:cs="宋体"/>
          <w:bCs/>
          <w:color w:val="auto"/>
          <w:sz w:val="22"/>
          <w:szCs w:val="22"/>
          <w:highlight w:val="none"/>
          <w:lang w:val="zh-CN"/>
        </w:rPr>
        <w:t>合同价款的确定</w:t>
      </w:r>
    </w:p>
    <w:p w14:paraId="319BC2F5">
      <w:pPr>
        <w:keepLines w:val="0"/>
        <w:pageBreakBefore w:val="0"/>
        <w:wordWrap/>
        <w:topLinePunct w:val="0"/>
        <w:bidi w:val="0"/>
        <w:snapToGrid w:val="0"/>
        <w:spacing w:line="312" w:lineRule="auto"/>
        <w:ind w:firstLine="440" w:firstLineChars="200"/>
        <w:jc w:val="left"/>
        <w:textAlignment w:val="auto"/>
        <w:rPr>
          <w:rFonts w:hint="eastAsia" w:ascii="宋体" w:hAnsi="宋体" w:cs="宋体"/>
          <w:color w:val="auto"/>
          <w:sz w:val="22"/>
          <w:szCs w:val="22"/>
          <w:highlight w:val="none"/>
          <w:lang w:eastAsia="zh-CN"/>
        </w:rPr>
      </w:pPr>
      <w:r>
        <w:rPr>
          <w:rFonts w:hint="eastAsia" w:ascii="宋体" w:hAnsi="宋体" w:cs="宋体"/>
          <w:color w:val="auto"/>
          <w:sz w:val="22"/>
          <w:szCs w:val="22"/>
          <w:highlight w:val="none"/>
          <w:lang w:val="en-US" w:eastAsia="zh-CN"/>
        </w:rPr>
        <w:t>1、合同价格形式：</w:t>
      </w:r>
      <w:r>
        <w:rPr>
          <w:rFonts w:hint="eastAsia" w:ascii="宋体" w:hAnsi="宋体" w:eastAsia="宋体" w:cs="宋体"/>
          <w:color w:val="auto"/>
          <w:sz w:val="22"/>
          <w:szCs w:val="22"/>
          <w:highlight w:val="none"/>
          <w:lang w:val="en-US" w:eastAsia="zh-CN"/>
        </w:rPr>
        <w:t>约定范围内固定总价</w:t>
      </w:r>
      <w:r>
        <w:rPr>
          <w:rFonts w:hint="eastAsia" w:ascii="宋体" w:hAnsi="宋体" w:eastAsia="宋体" w:cs="宋体"/>
          <w:color w:val="auto"/>
          <w:sz w:val="22"/>
          <w:szCs w:val="22"/>
          <w:highlight w:val="none"/>
          <w:lang w:eastAsia="zh-CN"/>
        </w:rPr>
        <w:t>合同</w:t>
      </w:r>
      <w:r>
        <w:rPr>
          <w:rFonts w:hint="eastAsia" w:ascii="宋体" w:hAnsi="宋体" w:cs="宋体"/>
          <w:color w:val="auto"/>
          <w:sz w:val="22"/>
          <w:szCs w:val="22"/>
          <w:highlight w:val="none"/>
          <w:lang w:eastAsia="zh-CN"/>
        </w:rPr>
        <w:t>；</w:t>
      </w:r>
    </w:p>
    <w:p w14:paraId="4A4E94BE">
      <w:pPr>
        <w:pStyle w:val="8"/>
        <w:keepLines w:val="0"/>
        <w:pageBreakBefore w:val="0"/>
        <w:wordWrap/>
        <w:topLinePunct w:val="0"/>
        <w:bidi w:val="0"/>
        <w:snapToGrid w:val="0"/>
        <w:spacing w:line="312" w:lineRule="auto"/>
        <w:ind w:firstLine="440" w:firstLineChars="200"/>
        <w:textAlignment w:val="auto"/>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2、价款确定：约定范围内中标总价一次性包干，不再调整。招标人有权增减工作范围，该费用应予以增减，在结算时按中标单价按实调整。</w:t>
      </w:r>
    </w:p>
    <w:p w14:paraId="614055DF">
      <w:pPr>
        <w:pStyle w:val="8"/>
        <w:keepLines w:val="0"/>
        <w:pageBreakBefore w:val="0"/>
        <w:wordWrap/>
        <w:topLinePunct w:val="0"/>
        <w:bidi w:val="0"/>
        <w:snapToGrid w:val="0"/>
        <w:spacing w:line="312" w:lineRule="auto"/>
        <w:ind w:firstLine="440" w:firstLineChars="200"/>
        <w:textAlignment w:val="auto"/>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（1）如因招标人原因需进行设计变更，则变更内容必须经过代建单位、设计单位、全咨单位书面同意后方可实施，未经各方确认不作为结算依据。</w:t>
      </w:r>
    </w:p>
    <w:p w14:paraId="2FCA1CDD">
      <w:pPr>
        <w:pStyle w:val="8"/>
        <w:keepLines w:val="0"/>
        <w:pageBreakBefore w:val="0"/>
        <w:wordWrap/>
        <w:topLinePunct w:val="0"/>
        <w:bidi w:val="0"/>
        <w:snapToGrid w:val="0"/>
        <w:spacing w:line="312" w:lineRule="auto"/>
        <w:ind w:firstLine="440" w:firstLineChars="200"/>
        <w:textAlignment w:val="auto"/>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设计变更内容结算口径：投标清单中有中标综合单价的，按中标综合单价；投标清单中有类似子项中标综合单价的，参照该子项中标综合单价；投标清单中没有该子项的，由中标人进行报价，经招标人、代建单位、全咨单位审核后，结算时按照招标人签证价结算。</w:t>
      </w:r>
    </w:p>
    <w:p w14:paraId="52787DB6">
      <w:pPr>
        <w:pStyle w:val="8"/>
        <w:keepLines w:val="0"/>
        <w:pageBreakBefore w:val="0"/>
        <w:wordWrap/>
        <w:topLinePunct w:val="0"/>
        <w:bidi w:val="0"/>
        <w:snapToGrid w:val="0"/>
        <w:spacing w:line="312" w:lineRule="auto"/>
        <w:ind w:firstLine="440" w:firstLineChars="200"/>
        <w:textAlignment w:val="auto"/>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（2）如中标人需要对图纸进行深化，所有涉及到的深化图纸及变更都需经招标人、代建单位、设计单位、全咨单位书面确认并同意后实施。</w:t>
      </w:r>
    </w:p>
    <w:p w14:paraId="75F29705">
      <w:pPr>
        <w:pStyle w:val="8"/>
        <w:keepLines w:val="0"/>
        <w:pageBreakBefore w:val="0"/>
        <w:wordWrap/>
        <w:topLinePunct w:val="0"/>
        <w:bidi w:val="0"/>
        <w:snapToGrid w:val="0"/>
        <w:spacing w:line="312" w:lineRule="auto"/>
        <w:ind w:firstLine="442" w:firstLineChars="200"/>
        <w:textAlignment w:val="auto"/>
        <w:rPr>
          <w:rFonts w:hint="eastAsia" w:ascii="宋体" w:hAnsi="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（3）</w:t>
      </w:r>
      <w:r>
        <w:rPr>
          <w:rFonts w:hint="eastAsia" w:ascii="宋体" w:hAnsi="宋体" w:cs="宋体"/>
          <w:b/>
          <w:bCs/>
          <w:color w:val="auto"/>
          <w:sz w:val="22"/>
          <w:szCs w:val="22"/>
          <w:highlight w:val="none"/>
          <w:lang w:val="en-US" w:eastAsia="zh-CN"/>
        </w:rPr>
        <w:t>质保期内</w:t>
      </w:r>
      <w:r>
        <w:rPr>
          <w:rFonts w:hint="eastAsia" w:ascii="宋体" w:hAnsi="宋体" w:cs="宋体"/>
          <w:b/>
          <w:bCs/>
          <w:color w:val="auto"/>
          <w:sz w:val="22"/>
          <w:szCs w:val="22"/>
          <w:highlight w:val="none"/>
          <w:lang w:val="en-US" w:eastAsia="zh-CN"/>
        </w:rPr>
        <w:t>新院建设面积范围内（包括特定区域）如信号不稳定或未实现全覆盖时由中标人无条件整改完毕（包括但不限于增补设备设施等）。</w:t>
      </w:r>
    </w:p>
    <w:p w14:paraId="7ED58948">
      <w:pPr>
        <w:pStyle w:val="8"/>
        <w:keepLines w:val="0"/>
        <w:pageBreakBefore w:val="0"/>
        <w:wordWrap/>
        <w:topLinePunct w:val="0"/>
        <w:bidi w:val="0"/>
        <w:snapToGrid w:val="0"/>
        <w:spacing w:line="312" w:lineRule="auto"/>
        <w:ind w:firstLine="440" w:firstLineChars="200"/>
        <w:textAlignment w:val="auto"/>
        <w:rPr>
          <w:rFonts w:hint="default"/>
          <w:sz w:val="22"/>
          <w:szCs w:val="22"/>
          <w:highlight w:val="none"/>
          <w:lang w:val="en-US" w:eastAsia="zh-CN"/>
        </w:rPr>
      </w:pPr>
      <w:r>
        <w:rPr>
          <w:rFonts w:hint="eastAsia" w:ascii="宋体" w:hAnsi="宋体" w:cs="宋体"/>
          <w:color w:val="auto"/>
          <w:sz w:val="22"/>
          <w:szCs w:val="22"/>
          <w:highlight w:val="none"/>
          <w:lang w:val="en-US" w:eastAsia="zh-CN"/>
        </w:rPr>
        <w:t>注：相应变更程序需要满足招标人、代建方、主管单位（如有）等相关规章制度</w:t>
      </w:r>
      <w:r>
        <w:rPr>
          <w:rFonts w:hint="eastAsia" w:ascii="宋体" w:hAnsi="宋体" w:cs="宋体"/>
          <w:color w:val="auto"/>
          <w:sz w:val="22"/>
          <w:szCs w:val="22"/>
          <w:highlight w:val="none"/>
          <w:lang w:val="en-US" w:eastAsia="zh-CN"/>
        </w:rPr>
        <w:t>，</w:t>
      </w:r>
      <w:r>
        <w:rPr>
          <w:rFonts w:hint="eastAsia" w:ascii="宋体" w:hAnsi="宋体" w:eastAsia="宋体" w:cs="宋体"/>
          <w:i w:val="0"/>
          <w:iCs w:val="0"/>
          <w:caps w:val="0"/>
          <w:color w:val="auto"/>
          <w:spacing w:val="0"/>
          <w:sz w:val="22"/>
          <w:szCs w:val="22"/>
          <w:highlight w:val="none"/>
          <w:shd w:val="clear" w:fill="auto"/>
        </w:rPr>
        <w:t>应及时向招标人、代建方及主管单位（如有）进行书面报告，确保各相关方充分知情并履行相应</w:t>
      </w:r>
      <w:r>
        <w:rPr>
          <w:rFonts w:hint="eastAsia" w:ascii="宋体" w:hAnsi="宋体" w:cs="宋体"/>
          <w:i w:val="0"/>
          <w:iCs w:val="0"/>
          <w:caps w:val="0"/>
          <w:color w:val="auto"/>
          <w:spacing w:val="0"/>
          <w:sz w:val="22"/>
          <w:szCs w:val="22"/>
          <w:highlight w:val="none"/>
          <w:shd w:val="clear"/>
          <w:lang w:val="en-US" w:eastAsia="zh-CN"/>
        </w:rPr>
        <w:t>职责</w:t>
      </w:r>
      <w:r>
        <w:rPr>
          <w:rFonts w:hint="eastAsia" w:ascii="宋体" w:hAnsi="宋体" w:eastAsia="宋体" w:cs="宋体"/>
          <w:i w:val="0"/>
          <w:iCs w:val="0"/>
          <w:caps w:val="0"/>
          <w:color w:val="auto"/>
          <w:spacing w:val="0"/>
          <w:sz w:val="22"/>
          <w:szCs w:val="22"/>
          <w:highlight w:val="none"/>
          <w:shd w:val="clear" w:fill="auto"/>
        </w:rPr>
        <w:t>。</w:t>
      </w:r>
    </w:p>
    <w:p w14:paraId="263E12F0">
      <w:pPr>
        <w:keepLines w:val="0"/>
        <w:pageBreakBefore w:val="0"/>
        <w:wordWrap/>
        <w:topLinePunct w:val="0"/>
        <w:bidi w:val="0"/>
        <w:snapToGrid w:val="0"/>
        <w:spacing w:line="312" w:lineRule="auto"/>
        <w:textAlignment w:val="auto"/>
        <w:rPr>
          <w:rFonts w:hint="eastAsia" w:ascii="宋体" w:hAnsi="宋体"/>
          <w:color w:val="auto"/>
          <w:sz w:val="22"/>
          <w:szCs w:val="22"/>
          <w:highlight w:val="none"/>
          <w:u w:val="none"/>
          <w:lang w:val="en-US" w:eastAsia="zh-CN"/>
        </w:rPr>
      </w:pPr>
      <w:r>
        <w:rPr>
          <w:rFonts w:hint="eastAsia" w:ascii="宋体" w:hAnsi="宋体" w:cs="宋体"/>
          <w:b/>
          <w:bCs/>
          <w:color w:val="auto"/>
          <w:kern w:val="44"/>
          <w:sz w:val="22"/>
          <w:szCs w:val="22"/>
          <w:highlight w:val="none"/>
          <w:lang w:val="en-US" w:eastAsia="zh-CN" w:bidi="ar-SA"/>
        </w:rPr>
        <w:t>三</w:t>
      </w:r>
      <w:r>
        <w:rPr>
          <w:rFonts w:hint="eastAsia" w:ascii="宋体" w:hAnsi="宋体" w:eastAsia="宋体" w:cs="宋体"/>
          <w:b/>
          <w:bCs/>
          <w:color w:val="auto"/>
          <w:kern w:val="44"/>
          <w:sz w:val="22"/>
          <w:szCs w:val="22"/>
          <w:highlight w:val="none"/>
          <w:lang w:val="en-US" w:eastAsia="zh-CN" w:bidi="ar-SA"/>
        </w:rPr>
        <w:t>、付款方式</w:t>
      </w:r>
    </w:p>
    <w:p w14:paraId="4D8C2D2C">
      <w:pPr>
        <w:keepNext w:val="0"/>
        <w:keepLines w:val="0"/>
        <w:pageBreakBefore w:val="0"/>
        <w:widowControl w:val="0"/>
        <w:kinsoku/>
        <w:wordWrap/>
        <w:overflowPunct/>
        <w:topLinePunct w:val="0"/>
        <w:autoSpaceDE w:val="0"/>
        <w:autoSpaceDN w:val="0"/>
        <w:bidi w:val="0"/>
        <w:snapToGrid w:val="0"/>
        <w:spacing w:line="312" w:lineRule="auto"/>
        <w:ind w:firstLine="440" w:firstLineChars="200"/>
        <w:textAlignment w:val="auto"/>
        <w:rPr>
          <w:rFonts w:hint="eastAsia" w:ascii="宋体" w:hAnsi="宋体"/>
          <w:color w:val="auto"/>
          <w:sz w:val="22"/>
          <w:szCs w:val="22"/>
          <w:highlight w:val="none"/>
          <w:u w:val="none"/>
          <w:lang w:val="en-US" w:eastAsia="zh-CN"/>
        </w:rPr>
      </w:pPr>
      <w:r>
        <w:rPr>
          <w:rFonts w:hint="eastAsia" w:ascii="宋体" w:hAnsi="宋体"/>
          <w:color w:val="auto"/>
          <w:sz w:val="22"/>
          <w:szCs w:val="22"/>
          <w:highlight w:val="none"/>
          <w:u w:val="none"/>
          <w:lang w:val="en-US" w:eastAsia="zh-CN"/>
        </w:rPr>
        <w:t>1、合同签订生效且收到中标人交纳的履约保证金后，同时招标人收到中标人递交的合法发票并在完成财务审批手续后的15个工作日内，招标人向中标人支付合同总价的30%；</w:t>
      </w:r>
      <w:r>
        <w:rPr>
          <w:rFonts w:hint="eastAsia" w:ascii="宋体" w:hAnsi="宋体"/>
          <w:color w:val="auto"/>
          <w:sz w:val="22"/>
          <w:szCs w:val="22"/>
          <w:highlight w:val="none"/>
          <w:u w:val="none"/>
          <w:lang w:val="en-US" w:eastAsia="zh-CN"/>
        </w:rPr>
        <w:t>中标人需在招标人支付该节点合同款之前，向招标人提交符合招标人要求的首付款担保（担保金额必须与甲方支付的首付款金额完全一致，即合同总价的30%，担保期限不低于90日历天）</w:t>
      </w:r>
      <w:r>
        <w:rPr>
          <w:rFonts w:hint="eastAsia" w:ascii="宋体" w:hAnsi="宋体"/>
          <w:color w:val="auto"/>
          <w:sz w:val="22"/>
          <w:szCs w:val="22"/>
          <w:highlight w:val="none"/>
          <w:u w:val="none"/>
          <w:lang w:val="en-US" w:eastAsia="zh-CN"/>
        </w:rPr>
        <w:t>；</w:t>
      </w:r>
    </w:p>
    <w:p w14:paraId="59B6788C">
      <w:pPr>
        <w:keepNext w:val="0"/>
        <w:keepLines w:val="0"/>
        <w:pageBreakBefore w:val="0"/>
        <w:widowControl w:val="0"/>
        <w:kinsoku/>
        <w:wordWrap/>
        <w:overflowPunct/>
        <w:topLinePunct w:val="0"/>
        <w:autoSpaceDE w:val="0"/>
        <w:autoSpaceDN w:val="0"/>
        <w:bidi w:val="0"/>
        <w:snapToGrid w:val="0"/>
        <w:spacing w:line="312" w:lineRule="auto"/>
        <w:ind w:firstLine="440" w:firstLineChars="200"/>
        <w:textAlignment w:val="auto"/>
        <w:rPr>
          <w:rFonts w:hint="eastAsia" w:ascii="宋体" w:hAnsi="宋体"/>
          <w:color w:val="auto"/>
          <w:sz w:val="22"/>
          <w:szCs w:val="22"/>
          <w:highlight w:val="none"/>
          <w:u w:val="none"/>
          <w:lang w:val="en-US" w:eastAsia="zh-CN"/>
        </w:rPr>
      </w:pPr>
      <w:r>
        <w:rPr>
          <w:rFonts w:hint="eastAsia" w:ascii="宋体" w:hAnsi="宋体"/>
          <w:color w:val="auto"/>
          <w:sz w:val="22"/>
          <w:szCs w:val="22"/>
          <w:highlight w:val="none"/>
          <w:u w:val="none"/>
          <w:lang w:val="en-US" w:eastAsia="zh-CN"/>
        </w:rPr>
        <w:t>2、设备到货后招标人根据招标文件、施工图及中标人在投标文件中所投设备，进行开箱检查，确认设备的数量、规格、外观质量、其余资料（包括但不限于操作手册，设备参数等）等符合合同约定、满足使用需求，中标人安装、调试完成，经招标人单项验收合格、经检测信号实现全覆盖后，同时招标人收到中标人递交的合法发票并在完成财务审批手续后的15个工作日内，支付至合同总价的70%；</w:t>
      </w:r>
    </w:p>
    <w:p w14:paraId="5040E69E">
      <w:pPr>
        <w:keepNext w:val="0"/>
        <w:keepLines w:val="0"/>
        <w:pageBreakBefore w:val="0"/>
        <w:widowControl w:val="0"/>
        <w:kinsoku/>
        <w:wordWrap/>
        <w:overflowPunct/>
        <w:topLinePunct w:val="0"/>
        <w:autoSpaceDE w:val="0"/>
        <w:autoSpaceDN w:val="0"/>
        <w:bidi w:val="0"/>
        <w:snapToGrid w:val="0"/>
        <w:spacing w:line="312" w:lineRule="auto"/>
        <w:ind w:firstLine="440" w:firstLineChars="200"/>
        <w:textAlignment w:val="auto"/>
        <w:rPr>
          <w:rFonts w:hint="eastAsia" w:ascii="宋体" w:hAnsi="宋体"/>
          <w:color w:val="auto"/>
          <w:sz w:val="22"/>
          <w:szCs w:val="22"/>
          <w:highlight w:val="none"/>
          <w:u w:val="none"/>
          <w:lang w:val="en-US" w:eastAsia="zh-CN"/>
        </w:rPr>
      </w:pPr>
      <w:r>
        <w:rPr>
          <w:rFonts w:hint="eastAsia" w:ascii="宋体" w:hAnsi="宋体"/>
          <w:color w:val="auto"/>
          <w:sz w:val="22"/>
          <w:szCs w:val="22"/>
          <w:highlight w:val="none"/>
          <w:u w:val="none"/>
          <w:lang w:val="en-US" w:eastAsia="zh-CN"/>
        </w:rPr>
        <w:t>3、</w:t>
      </w:r>
      <w:r>
        <w:rPr>
          <w:rFonts w:hint="eastAsia" w:ascii="宋体" w:hAnsi="宋体"/>
          <w:color w:val="auto"/>
          <w:sz w:val="22"/>
          <w:szCs w:val="22"/>
          <w:highlight w:val="none"/>
          <w:u w:val="none"/>
          <w:lang w:val="en-US" w:eastAsia="zh-CN"/>
        </w:rPr>
        <w:t>项目整体</w:t>
      </w:r>
      <w:r>
        <w:rPr>
          <w:rFonts w:hint="eastAsia" w:ascii="宋体" w:hAnsi="宋体"/>
          <w:color w:val="auto"/>
          <w:sz w:val="22"/>
          <w:szCs w:val="22"/>
          <w:highlight w:val="none"/>
          <w:u w:val="none"/>
          <w:lang w:val="en-US" w:eastAsia="zh-CN"/>
        </w:rPr>
        <w:t>竣工验收合格后，同时招标人收到中标人递交的合法发票并在完成财务审批手续后的15个工作日内，支付至合同价的85%；</w:t>
      </w:r>
    </w:p>
    <w:p w14:paraId="36E6811E">
      <w:pPr>
        <w:keepNext w:val="0"/>
        <w:keepLines w:val="0"/>
        <w:pageBreakBefore w:val="0"/>
        <w:widowControl w:val="0"/>
        <w:kinsoku/>
        <w:wordWrap/>
        <w:overflowPunct/>
        <w:topLinePunct w:val="0"/>
        <w:autoSpaceDE w:val="0"/>
        <w:autoSpaceDN w:val="0"/>
        <w:bidi w:val="0"/>
        <w:snapToGrid w:val="0"/>
        <w:spacing w:line="312" w:lineRule="auto"/>
        <w:ind w:firstLine="440" w:firstLineChars="200"/>
        <w:textAlignment w:val="auto"/>
        <w:rPr>
          <w:rFonts w:hint="eastAsia" w:ascii="宋体" w:hAnsi="宋体"/>
          <w:color w:val="auto"/>
          <w:sz w:val="22"/>
          <w:szCs w:val="22"/>
          <w:highlight w:val="none"/>
          <w:u w:val="none"/>
          <w:lang w:val="en-US" w:eastAsia="zh-CN"/>
        </w:rPr>
      </w:pPr>
      <w:r>
        <w:rPr>
          <w:rFonts w:hint="eastAsia" w:ascii="宋体" w:hAnsi="宋体"/>
          <w:color w:val="auto"/>
          <w:sz w:val="22"/>
          <w:szCs w:val="22"/>
          <w:highlight w:val="none"/>
          <w:u w:val="none"/>
          <w:lang w:val="en-US" w:eastAsia="zh-CN"/>
        </w:rPr>
        <w:t>4、审核结算完成且资料齐全移交招标人后，同时招标人收到中标人递交的合法发票并在完成财务审批手续后的15个工作日内，支付至审定价的98.5%。</w:t>
      </w:r>
    </w:p>
    <w:p w14:paraId="1DA1ECA4">
      <w:pPr>
        <w:keepNext w:val="0"/>
        <w:keepLines w:val="0"/>
        <w:pageBreakBefore w:val="0"/>
        <w:widowControl w:val="0"/>
        <w:kinsoku/>
        <w:wordWrap/>
        <w:overflowPunct/>
        <w:topLinePunct w:val="0"/>
        <w:autoSpaceDE w:val="0"/>
        <w:autoSpaceDN w:val="0"/>
        <w:bidi w:val="0"/>
        <w:snapToGrid w:val="0"/>
        <w:spacing w:line="312" w:lineRule="auto"/>
        <w:ind w:firstLine="440" w:firstLineChars="200"/>
        <w:textAlignment w:val="auto"/>
        <w:rPr>
          <w:rFonts w:hint="eastAsia" w:ascii="宋体" w:hAnsi="宋体"/>
          <w:color w:val="auto"/>
          <w:sz w:val="22"/>
          <w:szCs w:val="22"/>
          <w:highlight w:val="none"/>
          <w:u w:val="none"/>
          <w:lang w:val="en-US" w:eastAsia="zh-CN"/>
        </w:rPr>
      </w:pPr>
      <w:r>
        <w:rPr>
          <w:rFonts w:hint="eastAsia" w:ascii="宋体" w:hAnsi="宋体"/>
          <w:color w:val="auto"/>
          <w:sz w:val="22"/>
          <w:szCs w:val="22"/>
          <w:highlight w:val="none"/>
          <w:u w:val="none"/>
          <w:lang w:val="en-US" w:eastAsia="zh-CN"/>
        </w:rPr>
        <w:t>5、根据中标人投标时承诺的质保期时间，余款1.5%在承诺的质保期满且无质量和服务问题后一次性付清。</w:t>
      </w:r>
    </w:p>
    <w:p w14:paraId="47559936">
      <w:pPr>
        <w:autoSpaceDE w:val="0"/>
        <w:autoSpaceDN w:val="0"/>
        <w:snapToGrid w:val="0"/>
        <w:spacing w:line="312" w:lineRule="auto"/>
        <w:ind w:firstLine="440" w:firstLineChars="200"/>
        <w:rPr>
          <w:rFonts w:hint="eastAsia" w:ascii="宋体" w:hAnsi="宋体" w:eastAsia="宋体" w:cs="宋体"/>
          <w:color w:val="auto"/>
          <w:sz w:val="22"/>
          <w:highlight w:val="none"/>
          <w:u w:val="none"/>
          <w:lang w:val="en-US" w:eastAsia="zh-CN"/>
        </w:rPr>
      </w:pPr>
      <w:r>
        <w:rPr>
          <w:rFonts w:hint="eastAsia" w:ascii="宋体" w:hAnsi="宋体" w:eastAsia="宋体" w:cs="宋体"/>
          <w:color w:val="auto"/>
          <w:sz w:val="22"/>
          <w:szCs w:val="22"/>
          <w:highlight w:val="none"/>
          <w:u w:val="none"/>
          <w:lang w:val="en-US" w:eastAsia="zh-CN" w:bidi="ar"/>
        </w:rPr>
        <w:t>6、本项目付款方为绍兴市第七人民医院，每次付款前，中标人应提供符合招标人要求的发票，否则招标人有权顺延付款且不视为违约。</w:t>
      </w:r>
    </w:p>
    <w:p w14:paraId="3786D05B">
      <w:pPr>
        <w:pStyle w:val="5"/>
        <w:keepLines w:val="0"/>
        <w:pageBreakBefore w:val="0"/>
        <w:wordWrap/>
        <w:topLinePunct w:val="0"/>
        <w:bidi w:val="0"/>
        <w:snapToGrid w:val="0"/>
        <w:spacing w:line="312" w:lineRule="auto"/>
        <w:ind w:firstLine="0" w:firstLineChars="0"/>
        <w:textAlignment w:val="auto"/>
        <w:rPr>
          <w:rFonts w:hint="eastAsia" w:ascii="宋体" w:hAnsi="宋体" w:eastAsia="宋体" w:cs="宋体"/>
          <w:b/>
          <w:bCs/>
          <w:color w:val="auto"/>
          <w:sz w:val="22"/>
          <w:szCs w:val="22"/>
          <w:highlight w:val="none"/>
        </w:rPr>
      </w:pPr>
      <w:r>
        <w:rPr>
          <w:rFonts w:hint="eastAsia" w:ascii="宋体" w:hAnsi="宋体" w:cs="宋体"/>
          <w:b/>
          <w:bCs/>
          <w:color w:val="auto"/>
          <w:sz w:val="22"/>
          <w:szCs w:val="22"/>
          <w:highlight w:val="none"/>
          <w:lang w:eastAsia="zh-CN"/>
        </w:rPr>
        <w:t>四</w:t>
      </w:r>
      <w:r>
        <w:rPr>
          <w:rFonts w:hint="eastAsia" w:ascii="宋体" w:hAnsi="宋体" w:eastAsia="宋体" w:cs="宋体"/>
          <w:b/>
          <w:bCs/>
          <w:color w:val="auto"/>
          <w:sz w:val="22"/>
          <w:szCs w:val="22"/>
          <w:highlight w:val="none"/>
        </w:rPr>
        <w:t>、履约保证金</w:t>
      </w:r>
    </w:p>
    <w:p w14:paraId="16487F12">
      <w:pPr>
        <w:keepLines w:val="0"/>
        <w:pageBreakBefore w:val="0"/>
        <w:kinsoku/>
        <w:wordWrap/>
        <w:overflowPunct/>
        <w:topLinePunct w:val="0"/>
        <w:autoSpaceDE w:val="0"/>
        <w:autoSpaceDN w:val="0"/>
        <w:bidi w:val="0"/>
        <w:snapToGrid w:val="0"/>
        <w:spacing w:line="312"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中标通知书发出15个工作日内中标人</w:t>
      </w:r>
      <w:r>
        <w:rPr>
          <w:rFonts w:hint="eastAsia" w:ascii="宋体" w:hAnsi="宋体" w:eastAsia="宋体" w:cs="宋体"/>
          <w:color w:val="auto"/>
          <w:sz w:val="22"/>
          <w:szCs w:val="22"/>
          <w:highlight w:val="none"/>
          <w:lang w:eastAsia="zh-CN"/>
        </w:rPr>
        <w:t>交纳</w:t>
      </w:r>
      <w:r>
        <w:rPr>
          <w:rFonts w:hint="eastAsia" w:ascii="宋体" w:hAnsi="宋体" w:eastAsia="宋体" w:cs="宋体"/>
          <w:color w:val="auto"/>
          <w:sz w:val="22"/>
          <w:szCs w:val="22"/>
          <w:highlight w:val="none"/>
        </w:rPr>
        <w:t>中标价的2%作为履约保证金，</w:t>
      </w:r>
      <w:r>
        <w:rPr>
          <w:rFonts w:hint="eastAsia" w:ascii="宋体" w:hAnsi="宋体" w:eastAsia="宋体" w:cs="宋体"/>
          <w:color w:val="auto"/>
          <w:sz w:val="22"/>
          <w:szCs w:val="22"/>
          <w:highlight w:val="none"/>
          <w:lang w:val="en-US" w:eastAsia="zh-CN"/>
        </w:rPr>
        <w:t>在项目安装调试完成、递交完整的经济技术资料，并</w:t>
      </w:r>
      <w:r>
        <w:rPr>
          <w:rFonts w:hint="eastAsia" w:ascii="宋体" w:hAnsi="宋体" w:eastAsia="宋体" w:cs="宋体"/>
          <w:color w:val="auto"/>
          <w:sz w:val="22"/>
          <w:szCs w:val="22"/>
          <w:highlight w:val="none"/>
          <w:lang w:val="en-US" w:eastAsia="zh-CN"/>
        </w:rPr>
        <w:t>单项验收合格</w:t>
      </w:r>
      <w:r>
        <w:rPr>
          <w:rFonts w:hint="eastAsia" w:ascii="宋体" w:hAnsi="宋体" w:eastAsia="宋体" w:cs="宋体"/>
          <w:color w:val="auto"/>
          <w:sz w:val="22"/>
          <w:szCs w:val="22"/>
          <w:highlight w:val="none"/>
          <w:lang w:eastAsia="zh-CN"/>
        </w:rPr>
        <w:t>且无其他违约行为</w:t>
      </w:r>
      <w:r>
        <w:rPr>
          <w:rFonts w:hint="eastAsia" w:ascii="宋体" w:hAnsi="宋体" w:eastAsia="宋体" w:cs="宋体"/>
          <w:color w:val="auto"/>
          <w:sz w:val="22"/>
          <w:szCs w:val="22"/>
          <w:highlight w:val="none"/>
        </w:rPr>
        <w:t>后予以退还（不计息）。履约保证金的形式：现金、支票、汇票、转账、银行保函、保险机构保证保险保单等。</w:t>
      </w:r>
      <w:r>
        <w:rPr>
          <w:rFonts w:hint="eastAsia" w:ascii="宋体" w:hAnsi="宋体" w:eastAsia="宋体" w:cs="宋体"/>
          <w:color w:val="auto"/>
          <w:sz w:val="22"/>
          <w:szCs w:val="22"/>
          <w:highlight w:val="none"/>
          <w:lang w:eastAsia="zh-CN"/>
        </w:rPr>
        <w:t>中标人</w:t>
      </w:r>
      <w:r>
        <w:rPr>
          <w:rFonts w:hint="eastAsia" w:ascii="宋体" w:hAnsi="宋体" w:eastAsia="宋体" w:cs="宋体"/>
          <w:color w:val="auto"/>
          <w:sz w:val="22"/>
          <w:szCs w:val="22"/>
          <w:highlight w:val="none"/>
        </w:rPr>
        <w:t>原因导致合同解除的，履约保证金不予退还。</w:t>
      </w:r>
    </w:p>
    <w:p w14:paraId="25EE0720">
      <w:pPr>
        <w:pStyle w:val="5"/>
        <w:keepLines w:val="0"/>
        <w:pageBreakBefore w:val="0"/>
        <w:kinsoku/>
        <w:wordWrap/>
        <w:overflowPunct/>
        <w:topLinePunct w:val="0"/>
        <w:bidi w:val="0"/>
        <w:snapToGrid w:val="0"/>
        <w:spacing w:line="312" w:lineRule="auto"/>
        <w:ind w:left="0" w:leftChars="0" w:firstLine="0" w:firstLineChars="0"/>
        <w:textAlignment w:val="auto"/>
        <w:rPr>
          <w:rFonts w:hint="eastAsia" w:ascii="宋体" w:hAnsi="宋体" w:eastAsia="宋体" w:cs="宋体"/>
          <w:b/>
          <w:bCs/>
          <w:color w:val="auto"/>
          <w:sz w:val="22"/>
          <w:szCs w:val="22"/>
          <w:highlight w:val="none"/>
        </w:rPr>
      </w:pPr>
      <w:bookmarkStart w:id="69" w:name="_Toc381966629"/>
      <w:bookmarkStart w:id="70" w:name="_Toc304531975"/>
      <w:bookmarkStart w:id="71" w:name="_Toc350634643"/>
      <w:bookmarkStart w:id="72" w:name="_Toc395874606"/>
      <w:bookmarkStart w:id="73" w:name="_Toc371336899"/>
      <w:r>
        <w:rPr>
          <w:rFonts w:hint="eastAsia" w:ascii="宋体" w:hAnsi="宋体" w:cs="宋体"/>
          <w:b/>
          <w:bCs/>
          <w:color w:val="auto"/>
          <w:sz w:val="22"/>
          <w:szCs w:val="22"/>
          <w:highlight w:val="none"/>
          <w:lang w:eastAsia="zh-CN"/>
        </w:rPr>
        <w:t>五</w:t>
      </w:r>
      <w:r>
        <w:rPr>
          <w:rFonts w:hint="eastAsia" w:ascii="宋体" w:hAnsi="宋体" w:eastAsia="宋体" w:cs="宋体"/>
          <w:b/>
          <w:bCs/>
          <w:color w:val="auto"/>
          <w:sz w:val="22"/>
          <w:szCs w:val="22"/>
          <w:highlight w:val="none"/>
        </w:rPr>
        <w:t>、</w:t>
      </w:r>
      <w:bookmarkEnd w:id="69"/>
      <w:bookmarkEnd w:id="70"/>
      <w:bookmarkEnd w:id="71"/>
      <w:bookmarkEnd w:id="72"/>
      <w:bookmarkEnd w:id="73"/>
      <w:r>
        <w:rPr>
          <w:rFonts w:hint="eastAsia" w:ascii="宋体" w:hAnsi="宋体" w:eastAsia="宋体" w:cs="宋体"/>
          <w:b/>
          <w:bCs/>
          <w:color w:val="auto"/>
          <w:sz w:val="22"/>
          <w:szCs w:val="22"/>
          <w:highlight w:val="none"/>
          <w:lang w:val="en-US" w:eastAsia="zh-CN"/>
        </w:rPr>
        <w:t>接货通知</w:t>
      </w:r>
    </w:p>
    <w:p w14:paraId="67B535F1">
      <w:pPr>
        <w:keepLines w:val="0"/>
        <w:pageBreakBefore w:val="0"/>
        <w:kinsoku/>
        <w:wordWrap/>
        <w:overflowPunct/>
        <w:topLinePunct w:val="0"/>
        <w:autoSpaceDE w:val="0"/>
        <w:autoSpaceDN w:val="0"/>
        <w:bidi w:val="0"/>
        <w:snapToGrid w:val="0"/>
        <w:spacing w:line="312"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中标人</w:t>
      </w:r>
      <w:r>
        <w:rPr>
          <w:rFonts w:hint="eastAsia" w:ascii="宋体" w:hAnsi="宋体" w:eastAsia="宋体" w:cs="宋体"/>
          <w:color w:val="auto"/>
          <w:sz w:val="22"/>
          <w:szCs w:val="22"/>
          <w:highlight w:val="none"/>
        </w:rPr>
        <w:t>在设备发运前10天，需将准备发运的设备名称、规格、数量、包装箱件数、每件包装箱的尺码、毛重及对</w:t>
      </w:r>
      <w:r>
        <w:rPr>
          <w:rFonts w:hint="eastAsia" w:ascii="宋体" w:hAnsi="宋体" w:eastAsia="宋体" w:cs="宋体"/>
          <w:color w:val="auto"/>
          <w:sz w:val="22"/>
          <w:szCs w:val="22"/>
          <w:highlight w:val="none"/>
          <w:lang w:eastAsia="zh-CN"/>
        </w:rPr>
        <w:t>设备</w:t>
      </w:r>
      <w:r>
        <w:rPr>
          <w:rFonts w:hint="eastAsia" w:ascii="宋体" w:hAnsi="宋体" w:eastAsia="宋体" w:cs="宋体"/>
          <w:color w:val="auto"/>
          <w:sz w:val="22"/>
          <w:szCs w:val="22"/>
          <w:highlight w:val="none"/>
        </w:rPr>
        <w:t>的卸车、贮存的特殊要求以传真</w:t>
      </w:r>
      <w:r>
        <w:rPr>
          <w:rFonts w:hint="eastAsia" w:ascii="宋体" w:hAnsi="宋体" w:eastAsia="宋体" w:cs="宋体"/>
          <w:color w:val="auto"/>
          <w:sz w:val="22"/>
          <w:szCs w:val="22"/>
          <w:highlight w:val="none"/>
          <w:lang w:val="en-US" w:eastAsia="zh-CN"/>
        </w:rPr>
        <w:t>或双方确定的其他</w:t>
      </w:r>
      <w:r>
        <w:rPr>
          <w:rFonts w:hint="eastAsia" w:ascii="宋体" w:hAnsi="宋体" w:eastAsia="宋体" w:cs="宋体"/>
          <w:color w:val="auto"/>
          <w:sz w:val="22"/>
          <w:szCs w:val="22"/>
          <w:highlight w:val="none"/>
        </w:rPr>
        <w:t>形式通知</w:t>
      </w:r>
      <w:r>
        <w:rPr>
          <w:rFonts w:hint="eastAsia" w:ascii="宋体" w:hAnsi="宋体" w:eastAsia="宋体" w:cs="宋体"/>
          <w:color w:val="auto"/>
          <w:sz w:val="22"/>
          <w:szCs w:val="22"/>
          <w:highlight w:val="none"/>
          <w:lang w:eastAsia="zh-CN"/>
        </w:rPr>
        <w:t>招标人</w:t>
      </w:r>
      <w:r>
        <w:rPr>
          <w:rFonts w:hint="eastAsia" w:ascii="宋体" w:hAnsi="宋体" w:eastAsia="宋体" w:cs="宋体"/>
          <w:color w:val="auto"/>
          <w:sz w:val="22"/>
          <w:szCs w:val="22"/>
          <w:highlight w:val="none"/>
        </w:rPr>
        <w:t>，以便接货。</w:t>
      </w:r>
      <w:r>
        <w:rPr>
          <w:rFonts w:hint="eastAsia" w:ascii="宋体" w:hAnsi="宋体" w:eastAsia="宋体" w:cs="宋体"/>
          <w:color w:val="auto"/>
          <w:sz w:val="22"/>
          <w:szCs w:val="22"/>
          <w:highlight w:val="none"/>
          <w:lang w:eastAsia="zh-CN"/>
        </w:rPr>
        <w:t>招标人</w:t>
      </w:r>
      <w:r>
        <w:rPr>
          <w:rFonts w:hint="eastAsia" w:ascii="宋体" w:hAnsi="宋体" w:eastAsia="宋体" w:cs="宋体"/>
          <w:color w:val="auto"/>
          <w:sz w:val="22"/>
          <w:szCs w:val="22"/>
          <w:highlight w:val="none"/>
        </w:rPr>
        <w:t>只协助</w:t>
      </w:r>
      <w:r>
        <w:rPr>
          <w:rFonts w:hint="eastAsia" w:ascii="宋体" w:hAnsi="宋体" w:eastAsia="宋体" w:cs="宋体"/>
          <w:color w:val="auto"/>
          <w:sz w:val="22"/>
          <w:szCs w:val="22"/>
          <w:highlight w:val="none"/>
          <w:lang w:eastAsia="zh-CN"/>
        </w:rPr>
        <w:t>中标人</w:t>
      </w:r>
      <w:r>
        <w:rPr>
          <w:rFonts w:hint="eastAsia" w:ascii="宋体" w:hAnsi="宋体" w:eastAsia="宋体" w:cs="宋体"/>
          <w:color w:val="auto"/>
          <w:sz w:val="22"/>
          <w:szCs w:val="22"/>
          <w:highlight w:val="none"/>
        </w:rPr>
        <w:t>接货。</w:t>
      </w:r>
      <w:r>
        <w:rPr>
          <w:rFonts w:hint="eastAsia" w:ascii="宋体" w:hAnsi="宋体" w:eastAsia="宋体" w:cs="宋体"/>
          <w:color w:val="auto"/>
          <w:sz w:val="22"/>
          <w:szCs w:val="22"/>
          <w:highlight w:val="none"/>
          <w:lang w:val="en-US" w:eastAsia="zh-CN"/>
        </w:rPr>
        <w:t>卸</w:t>
      </w:r>
      <w:r>
        <w:rPr>
          <w:rFonts w:hint="eastAsia" w:ascii="宋体" w:hAnsi="宋体" w:eastAsia="宋体" w:cs="宋体"/>
          <w:color w:val="auto"/>
          <w:sz w:val="22"/>
          <w:szCs w:val="22"/>
          <w:highlight w:val="none"/>
        </w:rPr>
        <w:t>货、清点、搬运、保管、安装调试、</w:t>
      </w:r>
      <w:r>
        <w:rPr>
          <w:rFonts w:hint="eastAsia" w:ascii="宋体" w:hAnsi="宋体" w:eastAsia="宋体" w:cs="宋体"/>
          <w:color w:val="auto"/>
          <w:sz w:val="22"/>
          <w:szCs w:val="22"/>
          <w:highlight w:val="none"/>
          <w:lang w:eastAsia="zh-CN"/>
        </w:rPr>
        <w:t>现场清理</w:t>
      </w:r>
      <w:r>
        <w:rPr>
          <w:rFonts w:hint="eastAsia" w:ascii="宋体" w:hAnsi="宋体" w:eastAsia="宋体" w:cs="宋体"/>
          <w:color w:val="auto"/>
          <w:sz w:val="22"/>
          <w:szCs w:val="22"/>
          <w:highlight w:val="none"/>
        </w:rPr>
        <w:t>等均由</w:t>
      </w:r>
      <w:r>
        <w:rPr>
          <w:rFonts w:hint="eastAsia" w:ascii="宋体" w:hAnsi="宋体" w:eastAsia="宋体" w:cs="宋体"/>
          <w:color w:val="auto"/>
          <w:sz w:val="22"/>
          <w:szCs w:val="22"/>
          <w:highlight w:val="none"/>
          <w:lang w:eastAsia="zh-CN"/>
        </w:rPr>
        <w:t>中标人</w:t>
      </w:r>
      <w:r>
        <w:rPr>
          <w:rFonts w:hint="eastAsia" w:ascii="宋体" w:hAnsi="宋体" w:eastAsia="宋体" w:cs="宋体"/>
          <w:color w:val="auto"/>
          <w:sz w:val="22"/>
          <w:szCs w:val="22"/>
          <w:highlight w:val="none"/>
        </w:rPr>
        <w:t>负责，并承担相应费用。</w:t>
      </w:r>
    </w:p>
    <w:p w14:paraId="5A40879A">
      <w:pPr>
        <w:keepLines w:val="0"/>
        <w:pageBreakBefore w:val="0"/>
        <w:kinsoku/>
        <w:wordWrap/>
        <w:overflowPunct/>
        <w:topLinePunct w:val="0"/>
        <w:bidi w:val="0"/>
        <w:snapToGrid w:val="0"/>
        <w:spacing w:line="312" w:lineRule="auto"/>
        <w:textAlignment w:val="auto"/>
        <w:rPr>
          <w:rFonts w:hint="eastAsia" w:ascii="宋体" w:hAnsi="宋体" w:eastAsia="宋体" w:cs="宋体"/>
          <w:b/>
          <w:bCs/>
          <w:color w:val="auto"/>
          <w:sz w:val="22"/>
          <w:szCs w:val="22"/>
          <w:highlight w:val="none"/>
        </w:rPr>
      </w:pPr>
      <w:r>
        <w:rPr>
          <w:rFonts w:hint="eastAsia" w:ascii="宋体" w:hAnsi="宋体" w:cs="宋体"/>
          <w:b/>
          <w:bCs/>
          <w:color w:val="auto"/>
          <w:sz w:val="22"/>
          <w:szCs w:val="22"/>
          <w:highlight w:val="none"/>
          <w:lang w:eastAsia="zh-CN"/>
        </w:rPr>
        <w:t>六</w:t>
      </w:r>
      <w:r>
        <w:rPr>
          <w:rFonts w:hint="eastAsia" w:ascii="宋体" w:hAnsi="宋体" w:eastAsia="宋体" w:cs="宋体"/>
          <w:b/>
          <w:bCs/>
          <w:color w:val="auto"/>
          <w:sz w:val="22"/>
          <w:szCs w:val="22"/>
          <w:highlight w:val="none"/>
        </w:rPr>
        <w:t>、运输及装卸保险</w:t>
      </w:r>
    </w:p>
    <w:p w14:paraId="3E8BD58F">
      <w:pPr>
        <w:pStyle w:val="5"/>
        <w:keepLines w:val="0"/>
        <w:pageBreakBefore w:val="0"/>
        <w:kinsoku/>
        <w:wordWrap/>
        <w:overflowPunct/>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zh-CN"/>
        </w:rPr>
      </w:pPr>
      <w:r>
        <w:rPr>
          <w:rFonts w:hint="eastAsia" w:ascii="宋体" w:hAnsi="宋体" w:cs="宋体"/>
          <w:color w:val="auto"/>
          <w:sz w:val="22"/>
          <w:szCs w:val="22"/>
          <w:highlight w:val="none"/>
          <w:lang w:val="en-US" w:eastAsia="zh-CN"/>
        </w:rPr>
        <w:t>1、</w:t>
      </w:r>
      <w:r>
        <w:rPr>
          <w:rFonts w:hint="eastAsia" w:ascii="宋体" w:hAnsi="宋体" w:eastAsia="宋体" w:cs="宋体"/>
          <w:color w:val="auto"/>
          <w:sz w:val="22"/>
          <w:szCs w:val="22"/>
          <w:highlight w:val="none"/>
          <w:lang w:val="zh-CN" w:eastAsia="zh-CN"/>
        </w:rPr>
        <w:t>设备</w:t>
      </w:r>
      <w:r>
        <w:rPr>
          <w:rFonts w:hint="eastAsia" w:ascii="宋体" w:hAnsi="宋体" w:eastAsia="宋体" w:cs="宋体"/>
          <w:color w:val="auto"/>
          <w:sz w:val="22"/>
          <w:szCs w:val="22"/>
          <w:highlight w:val="none"/>
          <w:lang w:val="zh-CN"/>
        </w:rPr>
        <w:t>在装运前由</w:t>
      </w:r>
      <w:r>
        <w:rPr>
          <w:rFonts w:hint="eastAsia" w:ascii="宋体" w:hAnsi="宋体" w:eastAsia="宋体" w:cs="宋体"/>
          <w:color w:val="auto"/>
          <w:sz w:val="22"/>
          <w:szCs w:val="22"/>
          <w:highlight w:val="none"/>
          <w:lang w:val="zh-CN" w:eastAsia="zh-CN"/>
        </w:rPr>
        <w:t>中标人</w:t>
      </w:r>
      <w:r>
        <w:rPr>
          <w:rFonts w:hint="eastAsia" w:ascii="宋体" w:hAnsi="宋体" w:eastAsia="宋体" w:cs="宋体"/>
          <w:color w:val="auto"/>
          <w:sz w:val="22"/>
          <w:szCs w:val="22"/>
          <w:highlight w:val="none"/>
          <w:lang w:val="zh-CN"/>
        </w:rPr>
        <w:t>投保，一旦</w:t>
      </w:r>
      <w:r>
        <w:rPr>
          <w:rFonts w:hint="eastAsia" w:ascii="宋体" w:hAnsi="宋体" w:eastAsia="宋体" w:cs="宋体"/>
          <w:color w:val="auto"/>
          <w:sz w:val="22"/>
          <w:szCs w:val="22"/>
          <w:highlight w:val="none"/>
          <w:lang w:val="zh-CN" w:eastAsia="zh-CN"/>
        </w:rPr>
        <w:t>设备</w:t>
      </w:r>
      <w:r>
        <w:rPr>
          <w:rFonts w:hint="eastAsia" w:ascii="宋体" w:hAnsi="宋体" w:eastAsia="宋体" w:cs="宋体"/>
          <w:color w:val="auto"/>
          <w:sz w:val="22"/>
          <w:szCs w:val="22"/>
          <w:highlight w:val="none"/>
          <w:lang w:val="zh-CN"/>
        </w:rPr>
        <w:t>在装卸、运输过程中发生损坏或短缺，由</w:t>
      </w:r>
      <w:r>
        <w:rPr>
          <w:rFonts w:hint="eastAsia" w:ascii="宋体" w:hAnsi="宋体" w:eastAsia="宋体" w:cs="宋体"/>
          <w:color w:val="auto"/>
          <w:sz w:val="22"/>
          <w:szCs w:val="22"/>
          <w:highlight w:val="none"/>
          <w:lang w:val="zh-CN" w:eastAsia="zh-CN"/>
        </w:rPr>
        <w:t>中标人</w:t>
      </w:r>
      <w:r>
        <w:rPr>
          <w:rFonts w:hint="eastAsia" w:ascii="宋体" w:hAnsi="宋体" w:eastAsia="宋体" w:cs="宋体"/>
          <w:color w:val="auto"/>
          <w:sz w:val="22"/>
          <w:szCs w:val="22"/>
          <w:highlight w:val="none"/>
          <w:lang w:val="zh-CN"/>
        </w:rPr>
        <w:t>负责</w:t>
      </w:r>
      <w:r>
        <w:rPr>
          <w:rFonts w:hint="eastAsia" w:ascii="宋体" w:hAnsi="宋体" w:eastAsia="宋体" w:cs="宋体"/>
          <w:color w:val="auto"/>
          <w:sz w:val="22"/>
          <w:szCs w:val="22"/>
          <w:highlight w:val="none"/>
          <w:lang w:val="zh-CN" w:eastAsia="zh-CN"/>
        </w:rPr>
        <w:t>赔偿</w:t>
      </w:r>
      <w:r>
        <w:rPr>
          <w:rFonts w:hint="eastAsia" w:ascii="宋体" w:hAnsi="宋体" w:eastAsia="宋体" w:cs="宋体"/>
          <w:color w:val="auto"/>
          <w:sz w:val="22"/>
          <w:szCs w:val="22"/>
          <w:highlight w:val="none"/>
          <w:lang w:val="zh-CN" w:eastAsia="zh-CN" w:bidi="ar"/>
        </w:rPr>
        <w:t>，且不免除逾期供货违约责任</w:t>
      </w:r>
      <w:r>
        <w:rPr>
          <w:rFonts w:hint="eastAsia" w:ascii="宋体" w:hAnsi="宋体" w:eastAsia="宋体" w:cs="宋体"/>
          <w:color w:val="auto"/>
          <w:sz w:val="22"/>
          <w:szCs w:val="22"/>
          <w:highlight w:val="none"/>
          <w:lang w:val="zh-CN"/>
        </w:rPr>
        <w:t>。</w:t>
      </w:r>
    </w:p>
    <w:p w14:paraId="0C522776">
      <w:pPr>
        <w:pStyle w:val="5"/>
        <w:keepLines w:val="0"/>
        <w:pageBreakBefore w:val="0"/>
        <w:kinsoku/>
        <w:wordWrap/>
        <w:overflowPunct/>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zh-CN"/>
        </w:rPr>
      </w:pPr>
      <w:r>
        <w:rPr>
          <w:rFonts w:hint="eastAsia" w:ascii="宋体" w:hAnsi="宋体" w:cs="宋体"/>
          <w:color w:val="auto"/>
          <w:sz w:val="22"/>
          <w:szCs w:val="22"/>
          <w:highlight w:val="none"/>
          <w:lang w:val="en-US" w:eastAsia="zh-CN"/>
        </w:rPr>
        <w:t>2、</w:t>
      </w:r>
      <w:r>
        <w:rPr>
          <w:rFonts w:hint="eastAsia" w:ascii="宋体" w:hAnsi="宋体" w:eastAsia="宋体" w:cs="宋体"/>
          <w:color w:val="auto"/>
          <w:sz w:val="22"/>
          <w:szCs w:val="22"/>
          <w:highlight w:val="none"/>
          <w:lang w:val="zh-CN" w:eastAsia="zh-CN"/>
        </w:rPr>
        <w:t>中标人</w:t>
      </w:r>
      <w:r>
        <w:rPr>
          <w:rFonts w:hint="eastAsia" w:ascii="宋体" w:hAnsi="宋体" w:eastAsia="宋体" w:cs="宋体"/>
          <w:color w:val="auto"/>
          <w:sz w:val="22"/>
          <w:szCs w:val="22"/>
          <w:highlight w:val="none"/>
          <w:lang w:val="zh-CN"/>
        </w:rPr>
        <w:t>保证在确认</w:t>
      </w:r>
      <w:r>
        <w:rPr>
          <w:rFonts w:hint="eastAsia" w:ascii="宋体" w:hAnsi="宋体" w:eastAsia="宋体" w:cs="宋体"/>
          <w:color w:val="auto"/>
          <w:sz w:val="22"/>
          <w:szCs w:val="22"/>
          <w:highlight w:val="none"/>
          <w:lang w:val="zh-CN" w:eastAsia="zh-CN"/>
        </w:rPr>
        <w:t>设备</w:t>
      </w:r>
      <w:r>
        <w:rPr>
          <w:rFonts w:hint="eastAsia" w:ascii="宋体" w:hAnsi="宋体" w:eastAsia="宋体" w:cs="宋体"/>
          <w:color w:val="auto"/>
          <w:sz w:val="22"/>
          <w:szCs w:val="22"/>
          <w:highlight w:val="none"/>
          <w:lang w:val="zh-CN"/>
        </w:rPr>
        <w:t>因装卸、运输中发生损坏或短缺后，尽快给予调换、修复和补齐缺件，不管其造成的原因如何</w:t>
      </w:r>
      <w:r>
        <w:rPr>
          <w:rFonts w:hint="eastAsia" w:ascii="宋体" w:hAnsi="宋体" w:eastAsia="宋体" w:cs="宋体"/>
          <w:color w:val="auto"/>
          <w:sz w:val="22"/>
          <w:szCs w:val="22"/>
          <w:highlight w:val="none"/>
          <w:lang w:val="zh-CN" w:eastAsia="zh-CN"/>
        </w:rPr>
        <w:t>也不以任何理由拖延</w:t>
      </w:r>
      <w:r>
        <w:rPr>
          <w:rFonts w:hint="eastAsia" w:ascii="宋体" w:hAnsi="宋体" w:eastAsia="宋体" w:cs="宋体"/>
          <w:color w:val="auto"/>
          <w:sz w:val="22"/>
          <w:szCs w:val="22"/>
          <w:highlight w:val="none"/>
          <w:lang w:val="zh-CN"/>
        </w:rPr>
        <w:t>。</w:t>
      </w:r>
    </w:p>
    <w:p w14:paraId="3E269201">
      <w:pPr>
        <w:pStyle w:val="5"/>
        <w:keepLines w:val="0"/>
        <w:pageBreakBefore w:val="0"/>
        <w:kinsoku/>
        <w:wordWrap/>
        <w:overflowPunct/>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val="zh-CN" w:eastAsia="zh-CN"/>
        </w:rPr>
        <w:t>中标人</w:t>
      </w:r>
      <w:r>
        <w:rPr>
          <w:rFonts w:hint="eastAsia" w:ascii="宋体" w:hAnsi="宋体" w:eastAsia="宋体" w:cs="宋体"/>
          <w:color w:val="auto"/>
          <w:sz w:val="22"/>
          <w:szCs w:val="22"/>
          <w:highlight w:val="none"/>
          <w:lang w:val="zh-CN"/>
        </w:rPr>
        <w:t>工作人员及设备进场时，应遵守交货现场环境卫生管理、安全管理的有关规定，配备相应的环境保护及安全措施。承担因自身原因违反有关规定而导致的所有责任。</w:t>
      </w:r>
    </w:p>
    <w:p w14:paraId="1D22088C">
      <w:pPr>
        <w:keepLines w:val="0"/>
        <w:pageBreakBefore w:val="0"/>
        <w:kinsoku/>
        <w:wordWrap/>
        <w:overflowPunct/>
        <w:topLinePunct w:val="0"/>
        <w:bidi w:val="0"/>
        <w:snapToGrid w:val="0"/>
        <w:spacing w:line="312" w:lineRule="auto"/>
        <w:jc w:val="left"/>
        <w:textAlignment w:val="auto"/>
        <w:rPr>
          <w:rFonts w:hint="eastAsia" w:ascii="宋体" w:hAnsi="宋体" w:eastAsia="宋体" w:cs="宋体"/>
          <w:b/>
          <w:bCs/>
          <w:color w:val="auto"/>
          <w:sz w:val="22"/>
          <w:szCs w:val="22"/>
          <w:highlight w:val="none"/>
        </w:rPr>
      </w:pPr>
      <w:bookmarkStart w:id="74" w:name="_Toc15792"/>
      <w:r>
        <w:rPr>
          <w:rFonts w:hint="eastAsia" w:ascii="宋体" w:hAnsi="宋体" w:cs="宋体"/>
          <w:b/>
          <w:bCs/>
          <w:color w:val="auto"/>
          <w:sz w:val="22"/>
          <w:szCs w:val="22"/>
          <w:highlight w:val="none"/>
          <w:lang w:eastAsia="zh-CN"/>
        </w:rPr>
        <w:t>七</w:t>
      </w:r>
      <w:r>
        <w:rPr>
          <w:rFonts w:hint="eastAsia" w:ascii="宋体" w:hAnsi="宋体" w:eastAsia="宋体" w:cs="宋体"/>
          <w:b/>
          <w:bCs/>
          <w:color w:val="auto"/>
          <w:sz w:val="22"/>
          <w:szCs w:val="22"/>
          <w:highlight w:val="none"/>
        </w:rPr>
        <w:t>、</w:t>
      </w:r>
      <w:bookmarkEnd w:id="74"/>
      <w:r>
        <w:rPr>
          <w:rFonts w:hint="eastAsia" w:ascii="宋体" w:hAnsi="宋体" w:eastAsia="宋体" w:cs="宋体"/>
          <w:b/>
          <w:bCs/>
          <w:color w:val="auto"/>
          <w:sz w:val="22"/>
          <w:szCs w:val="22"/>
          <w:highlight w:val="none"/>
          <w:lang w:val="en-US" w:eastAsia="zh-CN"/>
        </w:rPr>
        <w:t>人员培训</w:t>
      </w:r>
    </w:p>
    <w:p w14:paraId="671C25F6">
      <w:pPr>
        <w:keepLines w:val="0"/>
        <w:pageBreakBefore w:val="0"/>
        <w:kinsoku/>
        <w:wordWrap/>
        <w:overflowPunct/>
        <w:topLinePunct w:val="0"/>
        <w:bidi w:val="0"/>
        <w:snapToGrid w:val="0"/>
        <w:spacing w:line="312" w:lineRule="auto"/>
        <w:ind w:firstLine="440" w:firstLineChars="200"/>
        <w:jc w:val="left"/>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r>
        <w:rPr>
          <w:rFonts w:hint="eastAsia" w:ascii="宋体" w:hAnsi="宋体" w:eastAsia="宋体" w:cs="宋体"/>
          <w:color w:val="auto"/>
          <w:sz w:val="22"/>
          <w:szCs w:val="22"/>
          <w:highlight w:val="none"/>
          <w:lang w:val="en-US" w:eastAsia="zh-CN"/>
        </w:rPr>
        <w:t>中标人免费对招标人的操作、维修人员在厂方或使用地进行技术培训。设备交货时中标人向招标人提供设备技术资料、图纸和招标人认为有必要提供的其他技术资料。</w:t>
      </w:r>
    </w:p>
    <w:p w14:paraId="2194CD70">
      <w:pPr>
        <w:keepLines w:val="0"/>
        <w:pageBreakBefore w:val="0"/>
        <w:kinsoku/>
        <w:wordWrap/>
        <w:overflowPunct/>
        <w:topLinePunct w:val="0"/>
        <w:bidi w:val="0"/>
        <w:snapToGrid w:val="0"/>
        <w:spacing w:line="312" w:lineRule="auto"/>
        <w:ind w:firstLine="440" w:firstLineChars="200"/>
        <w:jc w:val="left"/>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w:t>
      </w:r>
      <w:r>
        <w:rPr>
          <w:rFonts w:hint="eastAsia" w:ascii="宋体" w:hAnsi="宋体" w:eastAsia="宋体" w:cs="宋体"/>
          <w:color w:val="auto"/>
          <w:sz w:val="22"/>
          <w:szCs w:val="22"/>
          <w:highlight w:val="none"/>
          <w:lang w:val="en-US" w:eastAsia="zh-CN"/>
        </w:rPr>
        <w:t>中标人应针对项目系统中的不同操作角色对使用方的人员进行相应的培训，培训的目标是使使用方能熟练使用和维护该系统，培训具体形式应至少包括集中的基础理论、系统日常管理、运维等内容，培训至熟练使用。</w:t>
      </w:r>
    </w:p>
    <w:p w14:paraId="4122056A">
      <w:pPr>
        <w:keepLines w:val="0"/>
        <w:pageBreakBefore w:val="0"/>
        <w:kinsoku/>
        <w:wordWrap/>
        <w:overflowPunct/>
        <w:topLinePunct w:val="0"/>
        <w:bidi w:val="0"/>
        <w:snapToGrid w:val="0"/>
        <w:spacing w:line="312" w:lineRule="auto"/>
        <w:ind w:firstLine="440" w:firstLineChars="200"/>
        <w:jc w:val="left"/>
        <w:textAlignment w:val="auto"/>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val="en-US" w:eastAsia="zh-CN"/>
        </w:rPr>
        <w:t>中标人必须为所有被培训人员提供培训用文字资料和讲义等相关用品。所有的资料必须是中文书写。</w:t>
      </w:r>
    </w:p>
    <w:p w14:paraId="7D33868F">
      <w:pPr>
        <w:keepLines w:val="0"/>
        <w:pageBreakBefore w:val="0"/>
        <w:kinsoku/>
        <w:wordWrap/>
        <w:overflowPunct/>
        <w:topLinePunct w:val="0"/>
        <w:bidi w:val="0"/>
        <w:snapToGrid w:val="0"/>
        <w:spacing w:line="312" w:lineRule="auto"/>
        <w:jc w:val="left"/>
        <w:textAlignment w:val="auto"/>
        <w:rPr>
          <w:rFonts w:hint="eastAsia" w:ascii="宋体" w:hAnsi="宋体" w:eastAsia="宋体" w:cs="宋体"/>
          <w:b/>
          <w:bCs/>
          <w:color w:val="auto"/>
          <w:sz w:val="22"/>
          <w:szCs w:val="22"/>
          <w:highlight w:val="none"/>
          <w:lang w:val="zh-CN"/>
        </w:rPr>
      </w:pPr>
      <w:r>
        <w:rPr>
          <w:rFonts w:hint="eastAsia" w:ascii="宋体" w:hAnsi="宋体" w:cs="宋体"/>
          <w:b/>
          <w:bCs/>
          <w:color w:val="auto"/>
          <w:sz w:val="22"/>
          <w:szCs w:val="22"/>
          <w:highlight w:val="none"/>
          <w:lang w:eastAsia="zh-CN"/>
        </w:rPr>
        <w:t>八</w:t>
      </w:r>
      <w:r>
        <w:rPr>
          <w:rFonts w:hint="eastAsia" w:ascii="宋体" w:hAnsi="宋体" w:eastAsia="宋体" w:cs="宋体"/>
          <w:b/>
          <w:bCs/>
          <w:color w:val="auto"/>
          <w:sz w:val="22"/>
          <w:szCs w:val="22"/>
          <w:highlight w:val="none"/>
          <w:lang w:val="zh-CN"/>
        </w:rPr>
        <w:t>、</w:t>
      </w:r>
      <w:r>
        <w:rPr>
          <w:rFonts w:hint="eastAsia" w:ascii="宋体" w:hAnsi="宋体" w:eastAsia="宋体" w:cs="宋体"/>
          <w:b/>
          <w:bCs/>
          <w:color w:val="auto"/>
          <w:sz w:val="22"/>
          <w:szCs w:val="22"/>
          <w:highlight w:val="none"/>
          <w:lang w:val="zh-CN" w:eastAsia="zh-CN"/>
        </w:rPr>
        <w:t>质量、技术标准</w:t>
      </w:r>
    </w:p>
    <w:p w14:paraId="6BA18C8B">
      <w:pPr>
        <w:keepLines w:val="0"/>
        <w:pageBreakBefore w:val="0"/>
        <w:wordWrap/>
        <w:topLinePunct w:val="0"/>
        <w:bidi w:val="0"/>
        <w:snapToGrid w:val="0"/>
        <w:spacing w:line="312" w:lineRule="auto"/>
        <w:ind w:firstLine="440" w:firstLineChars="200"/>
        <w:jc w:val="left"/>
        <w:textAlignment w:val="auto"/>
        <w:rPr>
          <w:rFonts w:hint="eastAsia" w:ascii="宋体" w:hAnsi="宋体" w:eastAsia="宋体" w:cs="宋体"/>
          <w:b w:val="0"/>
          <w:bCs/>
          <w:color w:val="auto"/>
          <w:sz w:val="22"/>
          <w:szCs w:val="22"/>
          <w:highlight w:val="none"/>
          <w:lang w:val="en-US" w:eastAsia="zh-CN"/>
        </w:rPr>
      </w:pPr>
      <w:r>
        <w:rPr>
          <w:rFonts w:hint="eastAsia" w:ascii="宋体" w:hAnsi="宋体" w:cs="宋体"/>
          <w:b w:val="0"/>
          <w:bCs/>
          <w:color w:val="auto"/>
          <w:sz w:val="22"/>
          <w:szCs w:val="22"/>
          <w:highlight w:val="none"/>
          <w:lang w:val="en-US" w:eastAsia="zh-CN"/>
        </w:rPr>
        <w:t>1、</w:t>
      </w:r>
      <w:r>
        <w:rPr>
          <w:rFonts w:hint="eastAsia" w:ascii="宋体" w:hAnsi="宋体" w:eastAsia="宋体" w:cs="宋体"/>
          <w:b w:val="0"/>
          <w:bCs/>
          <w:color w:val="auto"/>
          <w:sz w:val="22"/>
          <w:szCs w:val="22"/>
          <w:highlight w:val="none"/>
          <w:lang w:val="en-US" w:eastAsia="zh-CN"/>
        </w:rPr>
        <w:t>设备的制造、安装、验收标准及技术规范，必须符合中国国家标准，或招标人认可的其他标准。中标人必须保证交货产品各项性能不得低于中国国家标准或招标人认可的其他标准，招标人随时有抽检及送检产品的权利，检验机构为政府法定检验机构。对于产品的任何技术及质量不合格，中标人承担检测费用，招标人有权拒收、部分拒收、退货、部分退货直至解除本合同，追究中标人违约责任，并要求中标人支付承担因此造成的所有损失。因此造成工期违约的，同时承担工期违约的违约责任。</w:t>
      </w:r>
    </w:p>
    <w:p w14:paraId="1A5FA833">
      <w:pPr>
        <w:keepLines w:val="0"/>
        <w:pageBreakBefore w:val="0"/>
        <w:wordWrap/>
        <w:topLinePunct w:val="0"/>
        <w:bidi w:val="0"/>
        <w:snapToGrid w:val="0"/>
        <w:spacing w:line="312" w:lineRule="auto"/>
        <w:ind w:firstLine="440" w:firstLineChars="200"/>
        <w:jc w:val="left"/>
        <w:textAlignment w:val="auto"/>
        <w:rPr>
          <w:rFonts w:hint="eastAsia" w:ascii="宋体" w:hAnsi="宋体" w:eastAsia="宋体" w:cs="宋体"/>
          <w:color w:val="auto"/>
          <w:sz w:val="22"/>
          <w:szCs w:val="22"/>
          <w:highlight w:val="none"/>
        </w:rPr>
      </w:pPr>
      <w:r>
        <w:rPr>
          <w:rFonts w:hint="eastAsia" w:ascii="宋体" w:hAnsi="宋体" w:cs="宋体"/>
          <w:b w:val="0"/>
          <w:bCs/>
          <w:color w:val="auto"/>
          <w:sz w:val="22"/>
          <w:szCs w:val="22"/>
          <w:highlight w:val="none"/>
          <w:lang w:val="en-US" w:eastAsia="zh-CN"/>
        </w:rPr>
        <w:t>2、</w:t>
      </w:r>
      <w:r>
        <w:rPr>
          <w:rFonts w:hint="eastAsia" w:ascii="宋体" w:hAnsi="宋体" w:eastAsia="宋体" w:cs="宋体"/>
          <w:b w:val="0"/>
          <w:bCs/>
          <w:color w:val="auto"/>
          <w:sz w:val="22"/>
          <w:szCs w:val="22"/>
          <w:highlight w:val="none"/>
          <w:lang w:val="en-US" w:eastAsia="zh-CN"/>
        </w:rPr>
        <w:t>未经招标人同意，中标人不得擅自更改或换用投标产品的零部件或配件，否则，中标人承担由此发生的费用，并赔偿招标人的有关损失，延误的供货日期不予顺延。</w:t>
      </w:r>
    </w:p>
    <w:p w14:paraId="17AC36D0">
      <w:pPr>
        <w:keepLines w:val="0"/>
        <w:pageBreakBefore w:val="0"/>
        <w:wordWrap/>
        <w:topLinePunct w:val="0"/>
        <w:autoSpaceDE w:val="0"/>
        <w:autoSpaceDN w:val="0"/>
        <w:bidi w:val="0"/>
        <w:adjustRightInd w:val="0"/>
        <w:snapToGrid w:val="0"/>
        <w:spacing w:line="312" w:lineRule="auto"/>
        <w:jc w:val="left"/>
        <w:textAlignment w:val="auto"/>
        <w:rPr>
          <w:rFonts w:hint="eastAsia" w:ascii="宋体" w:hAnsi="宋体" w:eastAsia="宋体" w:cs="宋体"/>
          <w:b/>
          <w:color w:val="auto"/>
          <w:sz w:val="22"/>
          <w:szCs w:val="22"/>
          <w:highlight w:val="none"/>
        </w:rPr>
      </w:pPr>
      <w:r>
        <w:rPr>
          <w:rFonts w:hint="eastAsia" w:ascii="宋体" w:hAnsi="宋体" w:cs="宋体"/>
          <w:b/>
          <w:color w:val="auto"/>
          <w:sz w:val="22"/>
          <w:szCs w:val="22"/>
          <w:highlight w:val="none"/>
          <w:lang w:eastAsia="zh-CN"/>
        </w:rPr>
        <w:t>九</w:t>
      </w:r>
      <w:r>
        <w:rPr>
          <w:rFonts w:hint="eastAsia" w:ascii="宋体" w:hAnsi="宋体" w:eastAsia="宋体" w:cs="宋体"/>
          <w:b/>
          <w:color w:val="auto"/>
          <w:sz w:val="22"/>
          <w:szCs w:val="22"/>
          <w:highlight w:val="none"/>
        </w:rPr>
        <w:t>、</w:t>
      </w:r>
      <w:r>
        <w:rPr>
          <w:rFonts w:hint="eastAsia" w:ascii="宋体" w:hAnsi="宋体" w:eastAsia="宋体" w:cs="宋体"/>
          <w:b/>
          <w:color w:val="auto"/>
          <w:sz w:val="22"/>
          <w:szCs w:val="22"/>
          <w:highlight w:val="none"/>
          <w:lang w:val="en-US" w:eastAsia="zh-CN"/>
        </w:rPr>
        <w:t>设备、材料检验</w:t>
      </w:r>
    </w:p>
    <w:p w14:paraId="53A154F0">
      <w:pPr>
        <w:pStyle w:val="5"/>
        <w:keepLines w:val="0"/>
        <w:pageBreakBefore w:val="0"/>
        <w:wordWrap/>
        <w:topLinePunct w:val="0"/>
        <w:bidi w:val="0"/>
        <w:snapToGrid w:val="0"/>
        <w:spacing w:line="312" w:lineRule="auto"/>
        <w:ind w:firstLine="480"/>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r>
        <w:rPr>
          <w:rFonts w:hint="eastAsia" w:ascii="宋体" w:hAnsi="宋体" w:eastAsia="宋体" w:cs="宋体"/>
          <w:color w:val="auto"/>
          <w:sz w:val="22"/>
          <w:szCs w:val="22"/>
          <w:highlight w:val="none"/>
          <w:lang w:val="en-US" w:eastAsia="zh-CN"/>
        </w:rPr>
        <w:t>招标人认为有必要在设备制造过程中派人到生产厂监制，中标人应予以积极配合并对监制或预验收工作提供方便并承担相关费用。</w:t>
      </w:r>
    </w:p>
    <w:p w14:paraId="7D85B6E3">
      <w:pPr>
        <w:pStyle w:val="5"/>
        <w:keepLines w:val="0"/>
        <w:pageBreakBefore w:val="0"/>
        <w:wordWrap/>
        <w:topLinePunct w:val="0"/>
        <w:bidi w:val="0"/>
        <w:snapToGrid w:val="0"/>
        <w:spacing w:line="312" w:lineRule="auto"/>
        <w:ind w:firstLine="480"/>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w:t>
      </w:r>
      <w:r>
        <w:rPr>
          <w:rFonts w:hint="eastAsia" w:ascii="宋体" w:hAnsi="宋体" w:eastAsia="宋体" w:cs="宋体"/>
          <w:color w:val="auto"/>
          <w:sz w:val="22"/>
          <w:szCs w:val="22"/>
          <w:highlight w:val="none"/>
          <w:lang w:val="en-US" w:eastAsia="zh-CN"/>
        </w:rPr>
        <w:t>在第一批设备供货之前，招标人将会同代建单位、全咨单位等相关单位到中标人的设备制造厂进行样品审核，中标人应积极配合并对招标人的工作提供方便并承担相关费用。</w:t>
      </w:r>
    </w:p>
    <w:p w14:paraId="50426DD5">
      <w:pPr>
        <w:pStyle w:val="5"/>
        <w:keepLines w:val="0"/>
        <w:pageBreakBefore w:val="0"/>
        <w:wordWrap/>
        <w:topLinePunct w:val="0"/>
        <w:bidi w:val="0"/>
        <w:snapToGrid w:val="0"/>
        <w:spacing w:line="312" w:lineRule="auto"/>
        <w:ind w:firstLine="480"/>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val="en-US" w:eastAsia="zh-CN"/>
        </w:rPr>
        <w:t>所有的设备备进场时须同时提供设备出厂合格证书、检测报告等合法手续。</w:t>
      </w:r>
    </w:p>
    <w:p w14:paraId="28F854F5">
      <w:pPr>
        <w:pStyle w:val="5"/>
        <w:keepLines w:val="0"/>
        <w:pageBreakBefore w:val="0"/>
        <w:wordWrap/>
        <w:topLinePunct w:val="0"/>
        <w:bidi w:val="0"/>
        <w:snapToGrid w:val="0"/>
        <w:spacing w:line="312" w:lineRule="auto"/>
        <w:ind w:firstLine="480"/>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4、</w:t>
      </w:r>
      <w:r>
        <w:rPr>
          <w:rFonts w:hint="eastAsia" w:ascii="宋体" w:hAnsi="宋体" w:eastAsia="宋体" w:cs="宋体"/>
          <w:color w:val="auto"/>
          <w:sz w:val="22"/>
          <w:szCs w:val="22"/>
          <w:highlight w:val="none"/>
          <w:lang w:val="en-US" w:eastAsia="zh-CN"/>
        </w:rPr>
        <w:t>隐蔽工程必须经全咨单位检查、验收签证后，方可进行下一道工序。没有经过全咨单位的批准，工程的任何部分均不得覆盖或使之无法查看。中标人应保证有充分的时间，对隐蔽或无法查看工程的任何部分进行检查或测量。</w:t>
      </w:r>
    </w:p>
    <w:p w14:paraId="0DB2E3A6">
      <w:pPr>
        <w:pStyle w:val="5"/>
        <w:keepLines w:val="0"/>
        <w:pageBreakBefore w:val="0"/>
        <w:wordWrap/>
        <w:topLinePunct w:val="0"/>
        <w:bidi w:val="0"/>
        <w:snapToGrid w:val="0"/>
        <w:spacing w:line="312" w:lineRule="auto"/>
        <w:ind w:firstLine="480"/>
        <w:textAlignment w:val="auto"/>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lang w:val="en-US" w:eastAsia="zh-CN"/>
        </w:rPr>
        <w:t>样品的报送与封存：需要中标人报送样品的材料或工程设备，样品的种类、名称、规格、数量要求：以符合设计和规范要求为原则。a、一般材料由招标人、代建单位、全咨单位看样认可后自行采购；主要设备应由招标人、代建单位、全咨单位共同看样定货认可后采购。b 、所有材料必须有质保书和合格证，经认证许可，并符合施工图纸和规范要求，若材料质量不符合规定要求，中标人无条件退换并承担返工损失及工期、质量违约责任 。</w:t>
      </w:r>
    </w:p>
    <w:p w14:paraId="3435C94B">
      <w:pPr>
        <w:keepLines w:val="0"/>
        <w:pageBreakBefore w:val="0"/>
        <w:wordWrap/>
        <w:topLinePunct w:val="0"/>
        <w:bidi w:val="0"/>
        <w:snapToGrid w:val="0"/>
        <w:spacing w:line="312" w:lineRule="auto"/>
        <w:textAlignment w:val="auto"/>
        <w:rPr>
          <w:rFonts w:hint="eastAsia" w:ascii="宋体" w:hAnsi="宋体" w:eastAsia="宋体" w:cs="宋体"/>
          <w:b/>
          <w:color w:val="auto"/>
          <w:sz w:val="22"/>
          <w:szCs w:val="22"/>
          <w:highlight w:val="none"/>
        </w:rPr>
      </w:pPr>
      <w:r>
        <w:rPr>
          <w:rFonts w:hint="eastAsia" w:ascii="宋体" w:hAnsi="宋体" w:cs="宋体"/>
          <w:b/>
          <w:color w:val="auto"/>
          <w:sz w:val="22"/>
          <w:szCs w:val="22"/>
          <w:highlight w:val="none"/>
          <w:lang w:eastAsia="zh-CN"/>
        </w:rPr>
        <w:t>十</w:t>
      </w:r>
      <w:r>
        <w:rPr>
          <w:rFonts w:hint="eastAsia" w:ascii="宋体" w:hAnsi="宋体" w:eastAsia="宋体" w:cs="宋体"/>
          <w:b/>
          <w:color w:val="auto"/>
          <w:sz w:val="22"/>
          <w:szCs w:val="22"/>
          <w:highlight w:val="none"/>
        </w:rPr>
        <w:t>、</w:t>
      </w:r>
      <w:r>
        <w:rPr>
          <w:rFonts w:hint="eastAsia" w:ascii="宋体" w:hAnsi="宋体" w:eastAsia="宋体" w:cs="宋体"/>
          <w:b/>
          <w:color w:val="auto"/>
          <w:sz w:val="22"/>
          <w:szCs w:val="22"/>
          <w:highlight w:val="none"/>
          <w:lang w:val="en-US" w:eastAsia="zh-CN"/>
        </w:rPr>
        <w:t>设备的安装、调试</w:t>
      </w:r>
    </w:p>
    <w:p w14:paraId="5ADA0CAA">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r>
        <w:rPr>
          <w:rFonts w:hint="eastAsia" w:ascii="宋体" w:hAnsi="宋体" w:eastAsia="宋体" w:cs="宋体"/>
          <w:color w:val="auto"/>
          <w:sz w:val="22"/>
          <w:szCs w:val="22"/>
          <w:highlight w:val="none"/>
          <w:lang w:val="en-US" w:eastAsia="zh-CN"/>
        </w:rPr>
        <w:t>合同所订的设备到达招标人指定地点后，中标人应在收到招标人通知后2天内，及时派人前往设备交货地点对设备进行安装调试。</w:t>
      </w:r>
    </w:p>
    <w:p w14:paraId="23B46998">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w:t>
      </w:r>
      <w:r>
        <w:rPr>
          <w:rFonts w:hint="eastAsia" w:ascii="宋体" w:hAnsi="宋体" w:eastAsia="宋体" w:cs="宋体"/>
          <w:color w:val="auto"/>
          <w:sz w:val="22"/>
          <w:szCs w:val="22"/>
          <w:highlight w:val="none"/>
          <w:lang w:val="en-US" w:eastAsia="zh-CN"/>
        </w:rPr>
        <w:t>中标人人员在安装及设备调试期间，所有费用由中标人负责。</w:t>
      </w:r>
    </w:p>
    <w:p w14:paraId="40133B79">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val="en-US" w:eastAsia="zh-CN"/>
        </w:rPr>
        <w:t>中标人应在设备安装完毕并具备调试条件下完成设备调试工作。如因中标人责任而造成的延期，所有因安装延期而产生的费用由中标人负担并中标人应承担相应的违约责任。</w:t>
      </w:r>
    </w:p>
    <w:p w14:paraId="05607D31">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4、</w:t>
      </w:r>
      <w:r>
        <w:rPr>
          <w:rFonts w:hint="eastAsia" w:ascii="宋体" w:hAnsi="宋体" w:eastAsia="宋体" w:cs="宋体"/>
          <w:color w:val="auto"/>
          <w:sz w:val="22"/>
          <w:szCs w:val="22"/>
          <w:highlight w:val="none"/>
          <w:lang w:val="en-US" w:eastAsia="zh-CN"/>
        </w:rPr>
        <w:t>安装完毕后，中标人应派遣有经验的工程技术人员进行设备的调试，招标人可以要求中标人委托具有检测资质的第三方用专用仪器进行测试，中标人应负责测试和调试所需的人员、工具、材料、仪器及检测费用等一切费用，并填写测试报告交由招标人存档。如需招标人派有关人员配合，中标人应在设备安装调试前一周提出需配合工作人员的工种、人数等计划书交与招标人，以便招标人提前作好准备，确保整个工程顺利进行。招标人组织相关专家进行验收，验收人员、会务等相关的一切费用，由中标人负责。</w:t>
      </w:r>
    </w:p>
    <w:p w14:paraId="4A23A784">
      <w:pPr>
        <w:keepLines w:val="0"/>
        <w:pageBreakBefore w:val="0"/>
        <w:wordWrap/>
        <w:topLinePunct w:val="0"/>
        <w:bidi w:val="0"/>
        <w:snapToGrid w:val="0"/>
        <w:spacing w:line="312" w:lineRule="auto"/>
        <w:textAlignment w:val="auto"/>
        <w:rPr>
          <w:rFonts w:hint="eastAsia" w:ascii="宋体" w:hAnsi="宋体" w:eastAsia="宋体" w:cs="宋体"/>
          <w:color w:val="auto"/>
          <w:sz w:val="22"/>
          <w:szCs w:val="22"/>
          <w:highlight w:val="none"/>
        </w:rPr>
      </w:pPr>
      <w:r>
        <w:rPr>
          <w:rFonts w:hint="eastAsia" w:ascii="宋体" w:hAnsi="宋体" w:cs="宋体"/>
          <w:b/>
          <w:color w:val="auto"/>
          <w:sz w:val="22"/>
          <w:szCs w:val="22"/>
          <w:highlight w:val="none"/>
          <w:lang w:eastAsia="zh-CN"/>
        </w:rPr>
        <w:t>十一</w:t>
      </w:r>
      <w:r>
        <w:rPr>
          <w:rFonts w:hint="eastAsia" w:ascii="宋体" w:hAnsi="宋体" w:eastAsia="宋体" w:cs="宋体"/>
          <w:b/>
          <w:color w:val="auto"/>
          <w:sz w:val="22"/>
          <w:szCs w:val="22"/>
          <w:highlight w:val="none"/>
        </w:rPr>
        <w:t>、</w:t>
      </w:r>
      <w:r>
        <w:rPr>
          <w:rFonts w:hint="eastAsia" w:ascii="宋体" w:hAnsi="宋体" w:eastAsia="宋体" w:cs="宋体"/>
          <w:b/>
          <w:color w:val="auto"/>
          <w:sz w:val="22"/>
          <w:szCs w:val="22"/>
          <w:highlight w:val="none"/>
          <w:lang w:val="en-US" w:eastAsia="zh-CN"/>
        </w:rPr>
        <w:t>设备验收</w:t>
      </w:r>
    </w:p>
    <w:p w14:paraId="02F3E174">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r>
        <w:rPr>
          <w:rFonts w:hint="eastAsia" w:ascii="宋体" w:hAnsi="宋体" w:eastAsia="宋体" w:cs="宋体"/>
          <w:color w:val="auto"/>
          <w:sz w:val="22"/>
          <w:szCs w:val="22"/>
          <w:highlight w:val="none"/>
          <w:lang w:val="en-US" w:eastAsia="zh-CN"/>
        </w:rPr>
        <w:t>中标人在合同签订后7天内应提供验收大纲和验收标准供招标人参考。</w:t>
      </w:r>
    </w:p>
    <w:p w14:paraId="6C0BA8DD">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w:t>
      </w:r>
      <w:r>
        <w:rPr>
          <w:rFonts w:hint="eastAsia" w:ascii="宋体" w:hAnsi="宋体" w:eastAsia="宋体" w:cs="宋体"/>
          <w:color w:val="auto"/>
          <w:sz w:val="22"/>
          <w:szCs w:val="22"/>
          <w:highlight w:val="none"/>
          <w:lang w:val="en-US" w:eastAsia="zh-CN"/>
        </w:rPr>
        <w:t>开箱检查：设备到达现场后，中标人派人到现场与招标人、代建单位、全咨单位一起开箱检查，设备的数量、规格、外观质量、其余资料（包括但不限于操作手册，设备参数等）需</w:t>
      </w:r>
      <w:r>
        <w:rPr>
          <w:rFonts w:hint="eastAsia" w:ascii="宋体" w:hAnsi="宋体" w:eastAsia="宋体" w:cs="宋体"/>
          <w:color w:val="auto"/>
          <w:sz w:val="22"/>
          <w:szCs w:val="22"/>
          <w:highlight w:val="none"/>
        </w:rPr>
        <w:t>符合合同约定、满足使用需求的关键环节</w:t>
      </w:r>
      <w:r>
        <w:rPr>
          <w:rFonts w:hint="eastAsia" w:ascii="宋体" w:hAnsi="宋体" w:eastAsia="宋体" w:cs="宋体"/>
          <w:color w:val="auto"/>
          <w:sz w:val="22"/>
          <w:szCs w:val="22"/>
          <w:highlight w:val="none"/>
          <w:lang w:val="en-US" w:eastAsia="zh-CN"/>
        </w:rPr>
        <w:t>并进行纸质记录。</w:t>
      </w:r>
    </w:p>
    <w:p w14:paraId="25CC5918">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val="en-US" w:eastAsia="zh-CN"/>
        </w:rPr>
        <w:t>单项验收：</w:t>
      </w:r>
    </w:p>
    <w:p w14:paraId="5EA7063B">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在设备安装调试完成后、系统正式交付前，对</w:t>
      </w:r>
      <w:r>
        <w:rPr>
          <w:rFonts w:hint="eastAsia" w:ascii="宋体" w:hAnsi="宋体" w:eastAsia="宋体" w:cs="宋体"/>
          <w:color w:val="auto"/>
          <w:sz w:val="22"/>
          <w:szCs w:val="22"/>
          <w:highlight w:val="none"/>
          <w:lang w:val="en-US" w:eastAsia="zh-CN"/>
        </w:rPr>
        <w:t>设备及</w:t>
      </w:r>
      <w:r>
        <w:rPr>
          <w:rFonts w:hint="eastAsia" w:ascii="宋体" w:hAnsi="宋体" w:eastAsia="宋体" w:cs="宋体"/>
          <w:color w:val="auto"/>
          <w:sz w:val="22"/>
          <w:szCs w:val="22"/>
          <w:highlight w:val="none"/>
        </w:rPr>
        <w:t>系统功能完整性、性能达标性、运行稳定性及文档规范性进行综合性</w:t>
      </w:r>
      <w:r>
        <w:rPr>
          <w:rFonts w:hint="eastAsia" w:ascii="宋体" w:hAnsi="宋体" w:eastAsia="宋体" w:cs="宋体"/>
          <w:color w:val="auto"/>
          <w:sz w:val="22"/>
          <w:szCs w:val="22"/>
          <w:highlight w:val="none"/>
          <w:lang w:val="en-US" w:eastAsia="zh-CN"/>
        </w:rPr>
        <w:t>初步检收。</w:t>
      </w:r>
    </w:p>
    <w:p w14:paraId="61CB914B">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val="en-US" w:eastAsia="zh-CN"/>
        </w:rPr>
        <w:t>中标人负责本合同项目所在地政府主管部门的备案以及办理所需相关手续(如有)；本项目必须满足</w:t>
      </w:r>
      <w:r>
        <w:rPr>
          <w:rFonts w:hint="eastAsia" w:ascii="宋体" w:hAnsi="宋体" w:eastAsia="宋体" w:cs="宋体"/>
          <w:color w:val="auto"/>
          <w:sz w:val="22"/>
          <w:szCs w:val="22"/>
          <w:highlight w:val="none"/>
          <w:lang w:eastAsia="zh-CN"/>
        </w:rPr>
        <w:t>相关</w:t>
      </w:r>
      <w:r>
        <w:rPr>
          <w:rFonts w:hint="eastAsia" w:ascii="宋体" w:hAnsi="宋体" w:eastAsia="宋体" w:cs="宋体"/>
          <w:color w:val="auto"/>
          <w:sz w:val="22"/>
          <w:szCs w:val="22"/>
          <w:highlight w:val="none"/>
          <w:lang w:val="en-US" w:eastAsia="zh-CN"/>
        </w:rPr>
        <w:t>部门要求，最终应配合招标人通过</w:t>
      </w:r>
      <w:r>
        <w:rPr>
          <w:rFonts w:hint="eastAsia" w:ascii="宋体" w:hAnsi="宋体" w:eastAsia="宋体" w:cs="宋体"/>
          <w:color w:val="auto"/>
          <w:sz w:val="22"/>
          <w:szCs w:val="22"/>
          <w:highlight w:val="none"/>
          <w:lang w:eastAsia="zh-CN"/>
        </w:rPr>
        <w:t>相关</w:t>
      </w:r>
      <w:r>
        <w:rPr>
          <w:rFonts w:hint="eastAsia" w:ascii="宋体" w:hAnsi="宋体" w:eastAsia="宋体" w:cs="宋体"/>
          <w:color w:val="auto"/>
          <w:sz w:val="22"/>
          <w:szCs w:val="22"/>
          <w:highlight w:val="none"/>
          <w:lang w:val="en-US" w:eastAsia="zh-CN"/>
        </w:rPr>
        <w:t>部门验收。如需整改，中标人必须按照</w:t>
      </w:r>
      <w:r>
        <w:rPr>
          <w:rFonts w:hint="eastAsia" w:ascii="宋体" w:hAnsi="宋体" w:eastAsia="宋体" w:cs="宋体"/>
          <w:color w:val="auto"/>
          <w:sz w:val="22"/>
          <w:szCs w:val="22"/>
          <w:highlight w:val="none"/>
          <w:lang w:eastAsia="zh-CN"/>
        </w:rPr>
        <w:t>相关</w:t>
      </w:r>
      <w:r>
        <w:rPr>
          <w:rFonts w:hint="eastAsia" w:ascii="宋体" w:hAnsi="宋体" w:eastAsia="宋体" w:cs="宋体"/>
          <w:color w:val="auto"/>
          <w:sz w:val="22"/>
          <w:szCs w:val="22"/>
          <w:highlight w:val="none"/>
          <w:lang w:val="en-US" w:eastAsia="zh-CN"/>
        </w:rPr>
        <w:t>部门要求整改并通过验收。</w:t>
      </w:r>
    </w:p>
    <w:p w14:paraId="6731C525">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4、</w:t>
      </w:r>
      <w:r>
        <w:rPr>
          <w:rFonts w:hint="eastAsia" w:ascii="宋体" w:hAnsi="宋体" w:eastAsia="宋体" w:cs="宋体"/>
          <w:color w:val="auto"/>
          <w:sz w:val="22"/>
          <w:szCs w:val="22"/>
          <w:highlight w:val="none"/>
          <w:lang w:val="en-US" w:eastAsia="zh-CN"/>
        </w:rPr>
        <w:t>总包整体竣工验收</w:t>
      </w:r>
    </w:p>
    <w:p w14:paraId="0E2126C6">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中标人配合总包完成工程整体竣工验收，及时根据招标人及总包要求提供相关技术经济资料。</w:t>
      </w:r>
    </w:p>
    <w:p w14:paraId="42AD5B02">
      <w:pPr>
        <w:pStyle w:val="8"/>
        <w:keepLines w:val="0"/>
        <w:pageBreakBefore w:val="0"/>
        <w:numPr>
          <w:ilvl w:val="0"/>
          <w:numId w:val="0"/>
        </w:numPr>
        <w:wordWrap/>
        <w:topLinePunct w:val="0"/>
        <w:bidi w:val="0"/>
        <w:snapToGrid w:val="0"/>
        <w:spacing w:line="312" w:lineRule="auto"/>
        <w:textAlignment w:val="auto"/>
        <w:rPr>
          <w:rFonts w:hint="eastAsia" w:ascii="宋体" w:hAnsi="宋体" w:eastAsia="宋体" w:cs="宋体"/>
          <w:b/>
          <w:color w:val="auto"/>
          <w:sz w:val="22"/>
          <w:szCs w:val="22"/>
          <w:highlight w:val="none"/>
          <w:lang w:val="en-US" w:eastAsia="zh-CN"/>
        </w:rPr>
      </w:pPr>
      <w:r>
        <w:rPr>
          <w:rFonts w:hint="eastAsia" w:ascii="宋体" w:hAnsi="宋体" w:cs="宋体"/>
          <w:b/>
          <w:bCs/>
          <w:color w:val="auto"/>
          <w:kern w:val="0"/>
          <w:sz w:val="22"/>
          <w:szCs w:val="22"/>
          <w:highlight w:val="none"/>
          <w:lang w:val="en-US" w:eastAsia="zh-CN" w:bidi="ar-SA"/>
        </w:rPr>
        <w:t>十二</w:t>
      </w:r>
      <w:r>
        <w:rPr>
          <w:rFonts w:hint="eastAsia" w:ascii="宋体" w:hAnsi="宋体" w:eastAsia="宋体" w:cs="宋体"/>
          <w:b/>
          <w:bCs/>
          <w:color w:val="auto"/>
          <w:kern w:val="0"/>
          <w:sz w:val="22"/>
          <w:szCs w:val="22"/>
          <w:highlight w:val="none"/>
          <w:lang w:val="en-US" w:eastAsia="zh-CN" w:bidi="ar-SA"/>
        </w:rPr>
        <w:t>、</w:t>
      </w:r>
      <w:r>
        <w:rPr>
          <w:rFonts w:hint="eastAsia" w:ascii="宋体" w:hAnsi="宋体" w:eastAsia="宋体" w:cs="宋体"/>
          <w:b/>
          <w:color w:val="auto"/>
          <w:sz w:val="22"/>
          <w:szCs w:val="22"/>
          <w:highlight w:val="none"/>
          <w:lang w:val="en-US" w:eastAsia="zh-CN"/>
        </w:rPr>
        <w:t>质保及维修</w:t>
      </w:r>
    </w:p>
    <w:p w14:paraId="19EA1796">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w:t>
      </w:r>
      <w:r>
        <w:rPr>
          <w:rFonts w:hint="eastAsia" w:ascii="宋体" w:hAnsi="宋体" w:eastAsia="宋体" w:cs="宋体"/>
          <w:b/>
          <w:bCs/>
          <w:color w:val="auto"/>
          <w:sz w:val="22"/>
          <w:szCs w:val="22"/>
          <w:highlight w:val="none"/>
          <w:lang w:val="en-US" w:eastAsia="zh-CN"/>
        </w:rPr>
        <w:t>本项目质保期不少于36个月（从通信发展办（或通建办）出具的《准予接入公网通知书》之日起开始计）（投标文件中提供供应商盖章承诺）。</w:t>
      </w:r>
    </w:p>
    <w:p w14:paraId="0E05F9BF">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2、质保期内如无问题，则在质保期满时，由中标人提交质保期验收申请，验收由招标人签字认可。</w:t>
      </w:r>
    </w:p>
    <w:p w14:paraId="02745E47">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3、在项目质保期内，因设备本身的缺陷导致各种故障，中标人应负责设备维修、提供技术服务，若无法维修的则负责免费更换产品，更换后的产品的质量保证期为更换后的产品使用之日起至少</w:t>
      </w:r>
      <w:r>
        <w:rPr>
          <w:rFonts w:hint="eastAsia" w:ascii="宋体" w:hAnsi="宋体" w:eastAsia="宋体" w:cs="宋体"/>
          <w:color w:val="auto"/>
          <w:sz w:val="22"/>
          <w:szCs w:val="22"/>
          <w:highlight w:val="none"/>
          <w:u w:val="single"/>
          <w:lang w:val="en-US" w:eastAsia="zh-CN"/>
        </w:rPr>
        <w:t>（根据中标人投标时的承诺在合同签订时明确）</w:t>
      </w:r>
      <w:r>
        <w:rPr>
          <w:rFonts w:hint="eastAsia" w:ascii="宋体" w:hAnsi="宋体" w:eastAsia="宋体" w:cs="宋体"/>
          <w:color w:val="auto"/>
          <w:sz w:val="22"/>
          <w:szCs w:val="22"/>
          <w:highlight w:val="none"/>
          <w:lang w:val="en-US" w:eastAsia="zh-CN"/>
        </w:rPr>
        <w:t>个月。</w:t>
      </w:r>
    </w:p>
    <w:p w14:paraId="52A86F38">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4、如设备在质保期后发生故障，中标人在收到招标人的书面维修通知后，应即时给予响应。</w:t>
      </w:r>
    </w:p>
    <w:p w14:paraId="64F27718">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5、中标人在投标文件中所承诺的辅材、配件价格及保修期外的保修年费及服务方案做为合同的一部分。</w:t>
      </w:r>
    </w:p>
    <w:p w14:paraId="43E3B36F">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6、质量保证期内，中标人需提供对系统软件的免费升级服务，同时不得设置升级障碍，必须对其他系统软件开放端口。质量保证期满后，中标人有义务配合招标人对设备设施的软件系统进行改造升级。</w:t>
      </w:r>
    </w:p>
    <w:p w14:paraId="0DCB4AF9">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7、中标人应按法律、行政法规或国家关于设备质量保修的有关规定，对交付招标人使用的设备在质量保修期内承担质量保修责任。</w:t>
      </w:r>
    </w:p>
    <w:p w14:paraId="57957043">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8、无论在质量保证期内还是质量保证期满后，一旦设备发生故障，而招标人无法自行排除时，在接到招标人通知后，中标人须在招标人书面通知后24小时内赶到现场维修并及时提供备品、备件，并于4小时内完成维修。质保期内，中标人未按时到场或未按时完成维修的，每发生一次，中标人应向招标人支付违约金500元。以上违约金在最近一次支付合同款时扣除，若不足，中标人应在收到招标人通知后……日内补足</w:t>
      </w:r>
    </w:p>
    <w:p w14:paraId="763C55BB">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9、中标人承诺，无论属中标人或其他方责任，在接到通知后，均遵守上述时间性要求不问理由地进行维修，并在维修过程中与招标人及管理方共同取证，以判断责任原因，不属中标人责任的，由责任方向中标人支付相关维修费用。</w:t>
      </w:r>
    </w:p>
    <w:p w14:paraId="09084297">
      <w:pPr>
        <w:pStyle w:val="8"/>
        <w:keepLines w:val="0"/>
        <w:pageBreakBefore w:val="0"/>
        <w:numPr>
          <w:ilvl w:val="0"/>
          <w:numId w:val="0"/>
        </w:numPr>
        <w:wordWrap/>
        <w:topLinePunct w:val="0"/>
        <w:bidi w:val="0"/>
        <w:snapToGrid w:val="0"/>
        <w:spacing w:line="312" w:lineRule="auto"/>
        <w:textAlignment w:val="auto"/>
        <w:rPr>
          <w:rFonts w:hint="eastAsia"/>
          <w:b/>
          <w:bCs/>
          <w:sz w:val="22"/>
          <w:szCs w:val="22"/>
          <w:highlight w:val="none"/>
        </w:rPr>
      </w:pPr>
      <w:r>
        <w:rPr>
          <w:rFonts w:hint="eastAsia" w:cs="Times New Roman"/>
          <w:b/>
          <w:bCs/>
          <w:kern w:val="0"/>
          <w:sz w:val="22"/>
          <w:szCs w:val="22"/>
          <w:highlight w:val="none"/>
          <w:lang w:val="en-US" w:eastAsia="zh-CN" w:bidi="ar-SA"/>
        </w:rPr>
        <w:t>十三</w:t>
      </w:r>
      <w:r>
        <w:rPr>
          <w:rFonts w:hint="eastAsia" w:ascii="Calibri" w:hAnsi="Calibri" w:eastAsia="宋体" w:cs="Times New Roman"/>
          <w:b/>
          <w:bCs/>
          <w:kern w:val="0"/>
          <w:sz w:val="22"/>
          <w:szCs w:val="22"/>
          <w:highlight w:val="none"/>
          <w:lang w:val="en-US" w:eastAsia="zh-CN" w:bidi="ar-SA"/>
        </w:rPr>
        <w:t>、</w:t>
      </w:r>
      <w:r>
        <w:rPr>
          <w:rFonts w:hint="eastAsia"/>
          <w:b/>
          <w:bCs/>
          <w:sz w:val="22"/>
          <w:szCs w:val="22"/>
          <w:highlight w:val="none"/>
          <w:lang w:val="en-US" w:eastAsia="zh-CN"/>
        </w:rPr>
        <w:t>安全要求</w:t>
      </w:r>
    </w:p>
    <w:p w14:paraId="681A227C">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中标人在实施作业期间，必须做好安全生产工作。实施过程中，必须严格按照安全程序进行，同时应做好加强安全教育和安全监督，确保不出现各类安全事故。接受行业监督人员依法实施的检查和监督，承包方在所属现场在施工期间，所发生的一切安全问题和治安问题由</w:t>
      </w:r>
      <w:r>
        <w:rPr>
          <w:rFonts w:hint="eastAsia" w:ascii="宋体" w:hAnsi="宋体" w:cs="宋体"/>
          <w:color w:val="auto"/>
          <w:sz w:val="22"/>
          <w:szCs w:val="22"/>
          <w:highlight w:val="none"/>
          <w:lang w:val="en-US" w:eastAsia="zh-CN"/>
        </w:rPr>
        <w:t>中标人</w:t>
      </w:r>
      <w:r>
        <w:rPr>
          <w:rFonts w:hint="eastAsia" w:ascii="宋体" w:hAnsi="宋体" w:eastAsia="宋体" w:cs="宋体"/>
          <w:color w:val="auto"/>
          <w:sz w:val="22"/>
          <w:szCs w:val="22"/>
          <w:highlight w:val="none"/>
          <w:lang w:val="en-US" w:eastAsia="zh-CN"/>
        </w:rPr>
        <w:t>负责，招标人</w:t>
      </w:r>
      <w:r>
        <w:rPr>
          <w:rFonts w:hint="eastAsia" w:ascii="宋体" w:hAnsi="宋体" w:cs="宋体"/>
          <w:color w:val="auto"/>
          <w:sz w:val="22"/>
          <w:szCs w:val="22"/>
          <w:highlight w:val="none"/>
          <w:lang w:val="en-US" w:eastAsia="zh-CN"/>
        </w:rPr>
        <w:t>、代建单位</w:t>
      </w:r>
      <w:r>
        <w:rPr>
          <w:rFonts w:hint="eastAsia" w:ascii="宋体" w:hAnsi="宋体" w:eastAsia="宋体" w:cs="宋体"/>
          <w:color w:val="auto"/>
          <w:sz w:val="22"/>
          <w:szCs w:val="22"/>
          <w:highlight w:val="none"/>
          <w:lang w:val="en-US" w:eastAsia="zh-CN"/>
        </w:rPr>
        <w:t>因此担责的，有权行使追偿。</w:t>
      </w:r>
    </w:p>
    <w:p w14:paraId="04ED7953">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2、中标人在实施过程中应采取必要的安全防护和消防措施，保障作业人员及出入施工现场人员的安全。中标人应为施工人员办理所需的工伤等保险，费用由中标人自行负责。</w:t>
      </w:r>
    </w:p>
    <w:p w14:paraId="23E37341">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中标人在实施过程中如发生质量事故责任全部自行承担，及时报告招标人。做到及时查清事故原因，分清事故责任，并采取有效的补救措施。一般质量事故的处理方案应送招标人共同研究实施；重大质量事故的处理按国家相关条例执行。</w:t>
      </w:r>
    </w:p>
    <w:p w14:paraId="5D492277">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4、本项目合同期内出现的作业人员或因中标人原因引起的第三方人员、财务损失，造成的责任和因此发生的费用，由中标人承担。</w:t>
      </w:r>
    </w:p>
    <w:p w14:paraId="6C273ADF">
      <w:pPr>
        <w:keepLines w:val="0"/>
        <w:pageBreakBefore w:val="0"/>
        <w:wordWrap/>
        <w:topLinePunct w:val="0"/>
        <w:bidi w:val="0"/>
        <w:snapToGrid w:val="0"/>
        <w:spacing w:line="312" w:lineRule="auto"/>
        <w:ind w:firstLine="440" w:firstLineChars="200"/>
        <w:textAlignment w:val="auto"/>
        <w:rPr>
          <w:rFonts w:hint="eastAsia"/>
          <w:sz w:val="22"/>
          <w:szCs w:val="24"/>
          <w:highlight w:val="none"/>
        </w:rPr>
      </w:pPr>
      <w:r>
        <w:rPr>
          <w:rFonts w:hint="eastAsia" w:ascii="宋体" w:hAnsi="宋体" w:eastAsia="宋体" w:cs="宋体"/>
          <w:color w:val="auto"/>
          <w:sz w:val="22"/>
          <w:szCs w:val="22"/>
          <w:highlight w:val="none"/>
          <w:lang w:val="en-US" w:eastAsia="zh-CN"/>
        </w:rPr>
        <w:t>5、本项目实施过程中，由中标人引起的管线、线路等损坏由中标人承担相应的责任和损失。</w:t>
      </w:r>
    </w:p>
    <w:p w14:paraId="04CAB773">
      <w:pPr>
        <w:pStyle w:val="8"/>
        <w:keepLines w:val="0"/>
        <w:pageBreakBefore w:val="0"/>
        <w:numPr>
          <w:ilvl w:val="0"/>
          <w:numId w:val="0"/>
        </w:numPr>
        <w:wordWrap/>
        <w:topLinePunct w:val="0"/>
        <w:bidi w:val="0"/>
        <w:snapToGrid w:val="0"/>
        <w:spacing w:line="312" w:lineRule="auto"/>
        <w:textAlignment w:val="auto"/>
        <w:rPr>
          <w:rFonts w:hint="eastAsia" w:eastAsia="宋体"/>
          <w:b/>
          <w:bCs/>
          <w:sz w:val="22"/>
          <w:szCs w:val="22"/>
          <w:highlight w:val="none"/>
          <w:lang w:val="en-US" w:eastAsia="zh-CN"/>
        </w:rPr>
      </w:pPr>
      <w:r>
        <w:rPr>
          <w:rFonts w:hint="eastAsia" w:cs="Times New Roman"/>
          <w:b/>
          <w:bCs/>
          <w:kern w:val="0"/>
          <w:sz w:val="22"/>
          <w:szCs w:val="22"/>
          <w:highlight w:val="none"/>
          <w:lang w:val="en-US" w:eastAsia="zh-CN" w:bidi="ar-SA"/>
        </w:rPr>
        <w:t>十四</w:t>
      </w:r>
      <w:r>
        <w:rPr>
          <w:rFonts w:hint="eastAsia" w:ascii="Calibri" w:hAnsi="Calibri" w:eastAsia="宋体" w:cs="Times New Roman"/>
          <w:b/>
          <w:bCs/>
          <w:kern w:val="0"/>
          <w:sz w:val="22"/>
          <w:szCs w:val="22"/>
          <w:highlight w:val="none"/>
          <w:lang w:val="en-US" w:eastAsia="zh-CN" w:bidi="ar-SA"/>
        </w:rPr>
        <w:t>、</w:t>
      </w:r>
      <w:r>
        <w:rPr>
          <w:rFonts w:hint="eastAsia" w:eastAsia="宋体"/>
          <w:b/>
          <w:bCs/>
          <w:sz w:val="22"/>
          <w:szCs w:val="22"/>
          <w:highlight w:val="none"/>
          <w:lang w:val="en-US" w:eastAsia="zh-CN"/>
        </w:rPr>
        <w:t>违约责任</w:t>
      </w:r>
    </w:p>
    <w:p w14:paraId="718C65C7">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1、超合同约定工期的，中标人需承担1000元/天的违约金；逾期超过30天的，中标人需承担2000元/天的违约金直至扣除合同价的3%且招标人有权解除合同，中标人承担所有的违约责任并</w:t>
      </w:r>
      <w:r>
        <w:rPr>
          <w:rFonts w:hint="eastAsia" w:ascii="宋体" w:hAnsi="宋体" w:cs="宋体"/>
          <w:color w:val="auto"/>
          <w:sz w:val="22"/>
          <w:szCs w:val="22"/>
          <w:highlight w:val="none"/>
          <w:lang w:val="en-US" w:eastAsia="zh-CN"/>
        </w:rPr>
        <w:t>赔偿</w:t>
      </w:r>
      <w:r>
        <w:rPr>
          <w:rFonts w:hint="eastAsia" w:ascii="宋体" w:hAnsi="宋体" w:eastAsia="宋体" w:cs="宋体"/>
          <w:color w:val="auto"/>
          <w:sz w:val="22"/>
          <w:szCs w:val="22"/>
          <w:highlight w:val="none"/>
          <w:lang w:val="en-US" w:eastAsia="zh-CN"/>
        </w:rPr>
        <w:t>由此造成的招标人的全部损失。中标人总工期超过本合同约定期限的，按照逾期交货承担违约责任。以上违约金在最近一次支付合同款时扣除</w:t>
      </w:r>
      <w:r>
        <w:rPr>
          <w:rFonts w:hint="eastAsia" w:ascii="宋体" w:hAnsi="宋体" w:cs="宋体"/>
          <w:color w:val="auto"/>
          <w:sz w:val="22"/>
          <w:szCs w:val="22"/>
          <w:highlight w:val="none"/>
          <w:lang w:val="en-US" w:eastAsia="zh-CN"/>
        </w:rPr>
        <w:t>，不足部分另行支付</w:t>
      </w:r>
      <w:r>
        <w:rPr>
          <w:rFonts w:hint="eastAsia" w:ascii="宋体" w:hAnsi="宋体" w:eastAsia="宋体" w:cs="宋体"/>
          <w:color w:val="auto"/>
          <w:sz w:val="22"/>
          <w:szCs w:val="22"/>
          <w:highlight w:val="none"/>
          <w:lang w:val="en-US" w:eastAsia="zh-CN"/>
        </w:rPr>
        <w:t>。</w:t>
      </w:r>
    </w:p>
    <w:p w14:paraId="55DE381E">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2、中标人交付的货品不能满足招标文件及合同主要技术标准及质量要求</w:t>
      </w:r>
      <w:r>
        <w:rPr>
          <w:rFonts w:hint="eastAsia" w:ascii="宋体" w:hAnsi="宋体" w:cs="宋体"/>
          <w:color w:val="auto"/>
          <w:sz w:val="22"/>
          <w:szCs w:val="22"/>
          <w:highlight w:val="none"/>
          <w:lang w:val="en-US" w:eastAsia="zh-CN"/>
        </w:rPr>
        <w:t>及招标人要求</w:t>
      </w:r>
      <w:r>
        <w:rPr>
          <w:rFonts w:hint="eastAsia" w:ascii="宋体" w:hAnsi="宋体" w:eastAsia="宋体" w:cs="宋体"/>
          <w:color w:val="auto"/>
          <w:sz w:val="22"/>
          <w:szCs w:val="22"/>
          <w:highlight w:val="none"/>
          <w:lang w:val="en-US" w:eastAsia="zh-CN"/>
        </w:rPr>
        <w:t>的，应按照要求更换、重做、修理直至按照招标人的要求退货并每发生一次，中标人需承担2000元违约金，累计发生3次（含）以上的，招标人有权解除本合同、招标人有权没收全部的履约保证金，中标人承担全部的违约责任并中标人应</w:t>
      </w:r>
      <w:r>
        <w:rPr>
          <w:rFonts w:hint="eastAsia" w:ascii="宋体" w:hAnsi="宋体" w:cs="宋体"/>
          <w:color w:val="auto"/>
          <w:sz w:val="22"/>
          <w:szCs w:val="22"/>
          <w:highlight w:val="none"/>
          <w:lang w:val="en-US" w:eastAsia="zh-CN"/>
        </w:rPr>
        <w:t>赔偿</w:t>
      </w:r>
      <w:r>
        <w:rPr>
          <w:rFonts w:hint="eastAsia" w:ascii="宋体" w:hAnsi="宋体" w:eastAsia="宋体" w:cs="宋体"/>
          <w:color w:val="auto"/>
          <w:sz w:val="22"/>
          <w:szCs w:val="22"/>
          <w:highlight w:val="none"/>
          <w:lang w:val="en-US" w:eastAsia="zh-CN"/>
        </w:rPr>
        <w:t>因此造成的招标人的所有损失。以上违约金在最近一次支付合同款时扣除。</w:t>
      </w:r>
    </w:p>
    <w:p w14:paraId="39692E8A">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3、中标人接受招标人对供货期调整的要求，具体方式为：招标人提前十五天发出有招标人代表签发的书面通知，中标人进行书面确认后即可执行，对此招标人不承担违约责任。</w:t>
      </w:r>
    </w:p>
    <w:p w14:paraId="390437A5">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如果中标人对本合同的执行敷衍了事，或忽视履行本合同约定的中标人任何工作及责任，而且从招标人发出书面要求其改正之日起30日内仍未采取有效措施并体现效果的，招标人有权解除本合同，并书面通知中标人，由此造成的经济损失，招标人有权在给中标人的任何款项中先行提取补偿，不足部分中标人仍应予以赔偿。</w:t>
      </w:r>
    </w:p>
    <w:p w14:paraId="6534051E">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5、因中标人原因解除本合同时，中标人需承担合同价款20%的违约金，且招标人有权决定是否接受属于中标人在现场的一切设施、设备、材料使用于本工程，并中标人应承担由此造成的招标人的全部损失。以上违约金在最近一次支付合同款时扣除。</w:t>
      </w:r>
    </w:p>
    <w:p w14:paraId="2DD75407">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6、中标人一旦中标，不得</w:t>
      </w:r>
      <w:r>
        <w:rPr>
          <w:rFonts w:hint="eastAsia" w:ascii="宋体" w:hAnsi="宋体" w:cs="宋体"/>
          <w:color w:val="auto"/>
          <w:sz w:val="22"/>
          <w:szCs w:val="22"/>
          <w:highlight w:val="none"/>
          <w:lang w:val="en-US" w:eastAsia="zh-CN"/>
        </w:rPr>
        <w:t>转包、</w:t>
      </w:r>
      <w:r>
        <w:rPr>
          <w:rFonts w:hint="eastAsia" w:ascii="宋体" w:hAnsi="宋体" w:eastAsia="宋体" w:cs="宋体"/>
          <w:color w:val="auto"/>
          <w:sz w:val="22"/>
          <w:szCs w:val="22"/>
          <w:highlight w:val="none"/>
          <w:lang w:val="en-US" w:eastAsia="zh-CN"/>
        </w:rPr>
        <w:t>分包</w:t>
      </w:r>
      <w:r>
        <w:rPr>
          <w:rFonts w:hint="eastAsia" w:ascii="宋体" w:hAnsi="宋体" w:cs="宋体"/>
          <w:color w:val="auto"/>
          <w:sz w:val="22"/>
          <w:szCs w:val="22"/>
          <w:highlight w:val="none"/>
          <w:lang w:val="en-US" w:eastAsia="zh-CN"/>
        </w:rPr>
        <w:t>或部分分包</w:t>
      </w:r>
      <w:r>
        <w:rPr>
          <w:rFonts w:hint="eastAsia" w:ascii="宋体" w:hAnsi="宋体" w:eastAsia="宋体" w:cs="宋体"/>
          <w:color w:val="auto"/>
          <w:sz w:val="22"/>
          <w:szCs w:val="22"/>
          <w:highlight w:val="none"/>
          <w:lang w:val="en-US" w:eastAsia="zh-CN"/>
        </w:rPr>
        <w:t>，否则招标人有权解除本合同、没收全部的履约保证金</w:t>
      </w:r>
      <w:r>
        <w:rPr>
          <w:rFonts w:hint="eastAsia" w:ascii="宋体" w:hAnsi="宋体" w:eastAsia="宋体" w:cs="宋体"/>
          <w:color w:val="auto"/>
          <w:sz w:val="22"/>
          <w:szCs w:val="22"/>
          <w:highlight w:val="none"/>
          <w:lang w:val="en-US" w:eastAsia="zh-CN"/>
        </w:rPr>
        <w:t>，中标人需承担合同价款总额的20%的违约金，并赔偿由此造成的招标人的全部损失。以上违约金在最近一次支付合同款时扣除</w:t>
      </w:r>
      <w:r>
        <w:rPr>
          <w:rFonts w:hint="eastAsia" w:ascii="宋体" w:hAnsi="宋体" w:eastAsia="宋体" w:cs="宋体"/>
          <w:color w:val="auto"/>
          <w:sz w:val="22"/>
          <w:szCs w:val="22"/>
          <w:highlight w:val="none"/>
          <w:lang w:val="en-US" w:eastAsia="zh-CN"/>
        </w:rPr>
        <w:t>。</w:t>
      </w:r>
    </w:p>
    <w:p w14:paraId="5835471F">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7</w:t>
      </w:r>
      <w:r>
        <w:rPr>
          <w:rFonts w:hint="eastAsia" w:ascii="宋体" w:hAnsi="宋体" w:eastAsia="宋体" w:cs="宋体"/>
          <w:color w:val="auto"/>
          <w:sz w:val="22"/>
          <w:szCs w:val="22"/>
          <w:highlight w:val="none"/>
          <w:lang w:val="en-US" w:eastAsia="zh-CN"/>
        </w:rPr>
        <w:t>、因中标人原因延误工期给招标人造成损失的（包括但不限于直接损失与间接损失）均由中标人承担相应责任及费用，招标人有权从中标人工程款中扣除相应费用，不足部分招标人有权追偿。</w:t>
      </w:r>
    </w:p>
    <w:p w14:paraId="2017A7A7">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8</w:t>
      </w:r>
      <w:r>
        <w:rPr>
          <w:rFonts w:hint="eastAsia" w:ascii="宋体" w:hAnsi="宋体" w:eastAsia="宋体" w:cs="宋体"/>
          <w:color w:val="auto"/>
          <w:sz w:val="22"/>
          <w:szCs w:val="22"/>
          <w:highlight w:val="none"/>
          <w:lang w:val="en-US" w:eastAsia="zh-CN"/>
        </w:rPr>
        <w:t>、因中标人原因造成本项目工程单项或整体验收不合格或验收标准的，招标人有权没收中标人交纳的履约保证金，同时由此产生的一切责任与费用均由中标人承担，招标人有权在中标人工程款中扣除相应费用，不足部分招标人有权追偿。</w:t>
      </w:r>
    </w:p>
    <w:p w14:paraId="3F2C1B5D">
      <w:pPr>
        <w:pStyle w:val="8"/>
        <w:keepLines w:val="0"/>
        <w:pageBreakBefore w:val="0"/>
        <w:numPr>
          <w:ilvl w:val="0"/>
          <w:numId w:val="0"/>
        </w:numPr>
        <w:wordWrap/>
        <w:topLinePunct w:val="0"/>
        <w:bidi w:val="0"/>
        <w:snapToGrid w:val="0"/>
        <w:spacing w:line="312" w:lineRule="auto"/>
        <w:textAlignment w:val="auto"/>
        <w:rPr>
          <w:rFonts w:hint="default" w:eastAsia="宋体"/>
          <w:b/>
          <w:bCs/>
          <w:sz w:val="22"/>
          <w:szCs w:val="22"/>
          <w:highlight w:val="none"/>
          <w:lang w:val="en-US" w:eastAsia="zh-CN"/>
        </w:rPr>
      </w:pPr>
      <w:r>
        <w:rPr>
          <w:rFonts w:hint="eastAsia" w:cs="Times New Roman"/>
          <w:b/>
          <w:bCs/>
          <w:kern w:val="0"/>
          <w:sz w:val="22"/>
          <w:szCs w:val="22"/>
          <w:highlight w:val="none"/>
          <w:lang w:val="en-US" w:eastAsia="zh-CN" w:bidi="ar-SA"/>
        </w:rPr>
        <w:t>十五</w:t>
      </w:r>
      <w:r>
        <w:rPr>
          <w:rFonts w:hint="eastAsia" w:ascii="Calibri" w:hAnsi="Calibri" w:eastAsia="宋体" w:cs="Times New Roman"/>
          <w:b/>
          <w:bCs/>
          <w:kern w:val="0"/>
          <w:sz w:val="22"/>
          <w:szCs w:val="22"/>
          <w:highlight w:val="none"/>
          <w:lang w:val="en-US" w:eastAsia="zh-CN" w:bidi="ar-SA"/>
        </w:rPr>
        <w:t>、</w:t>
      </w:r>
      <w:r>
        <w:rPr>
          <w:rFonts w:hint="eastAsia" w:eastAsia="宋体"/>
          <w:b/>
          <w:bCs/>
          <w:sz w:val="22"/>
          <w:szCs w:val="22"/>
          <w:highlight w:val="none"/>
          <w:lang w:val="en-US" w:eastAsia="zh-CN"/>
        </w:rPr>
        <w:t>其他</w:t>
      </w:r>
      <w:r>
        <w:rPr>
          <w:rFonts w:hint="eastAsia"/>
          <w:b/>
          <w:bCs/>
          <w:sz w:val="22"/>
          <w:szCs w:val="22"/>
          <w:highlight w:val="none"/>
          <w:lang w:val="en-US" w:eastAsia="zh-CN"/>
        </w:rPr>
        <w:t>约定</w:t>
      </w:r>
    </w:p>
    <w:p w14:paraId="1D78C3AD">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1、中标人提出使用其他专利技术或特殊工艺，应取得招标人、代建单位、全咨单位认可，中标人负责办理许可手续并承担有关费用。</w:t>
      </w:r>
    </w:p>
    <w:p w14:paraId="45A1D453">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中标人擅自使用专利技术侵犯他人专利权的因此产生的侵权纠纷，由中标人自行承担，每发生一次，中标人需承担20000元的违约金，如造成招标人损失的，招标人有权全额向中标人追索且招标人有权视情形解除本合同。以上违约金在最近一次支付合同款时扣除。</w:t>
      </w:r>
    </w:p>
    <w:p w14:paraId="366611C2">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3、需服从总包管理，配合总包完成工程整体竣工验收。</w:t>
      </w:r>
    </w:p>
    <w:p w14:paraId="02D9ED7A">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承包人对自己施工范围内的工程要做好成品保护；由于承包人原因造成损坏的，由承包人自行妥善处理。同时应注意保护其他承包人的工作成果；由于承包人原因造成其他承包人工程损坏的，由承包人自行妥善处理，自身不能妥善处理、影响任一方工程进度的，全咨单位及代建单位、招标人有权作出赔偿决断，费用从工程款或结算款中扣减。</w:t>
      </w:r>
    </w:p>
    <w:p w14:paraId="19403992">
      <w:pPr>
        <w:pStyle w:val="8"/>
        <w:keepLines w:val="0"/>
        <w:pageBreakBefore w:val="0"/>
        <w:numPr>
          <w:ilvl w:val="0"/>
          <w:numId w:val="0"/>
        </w:numPr>
        <w:wordWrap/>
        <w:topLinePunct w:val="0"/>
        <w:bidi w:val="0"/>
        <w:snapToGrid w:val="0"/>
        <w:spacing w:line="312" w:lineRule="auto"/>
        <w:textAlignment w:val="auto"/>
        <w:rPr>
          <w:rFonts w:hint="eastAsia" w:eastAsia="宋体"/>
          <w:b/>
          <w:bCs/>
          <w:sz w:val="22"/>
          <w:szCs w:val="22"/>
          <w:highlight w:val="none"/>
          <w:lang w:val="en-US" w:eastAsia="zh-CN"/>
        </w:rPr>
      </w:pPr>
      <w:r>
        <w:rPr>
          <w:rFonts w:hint="eastAsia" w:cs="Times New Roman"/>
          <w:b/>
          <w:bCs/>
          <w:kern w:val="0"/>
          <w:sz w:val="22"/>
          <w:szCs w:val="22"/>
          <w:highlight w:val="none"/>
          <w:lang w:val="en-US" w:eastAsia="zh-CN" w:bidi="ar-SA"/>
        </w:rPr>
        <w:t>十六</w:t>
      </w:r>
      <w:r>
        <w:rPr>
          <w:rFonts w:hint="eastAsia" w:ascii="Calibri" w:hAnsi="Calibri" w:eastAsia="宋体" w:cs="Times New Roman"/>
          <w:b/>
          <w:bCs/>
          <w:kern w:val="0"/>
          <w:sz w:val="22"/>
          <w:szCs w:val="22"/>
          <w:highlight w:val="none"/>
          <w:lang w:val="en-US" w:eastAsia="zh-CN" w:bidi="ar-SA"/>
        </w:rPr>
        <w:t>、</w:t>
      </w:r>
      <w:r>
        <w:rPr>
          <w:rFonts w:hint="eastAsia" w:eastAsia="宋体"/>
          <w:b/>
          <w:bCs/>
          <w:sz w:val="22"/>
          <w:szCs w:val="22"/>
          <w:highlight w:val="none"/>
          <w:lang w:val="en-US" w:eastAsia="zh-CN"/>
        </w:rPr>
        <w:t>合同争议的解决</w:t>
      </w:r>
    </w:p>
    <w:p w14:paraId="0B77237C">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合同履行过程中发生的任何争议，双方当事人均可通过和解或者调解解决；不愿和解、调解或者和解、调解不成的，将争议提交绍兴市越城区人民法院起诉解决。</w:t>
      </w:r>
    </w:p>
    <w:p w14:paraId="56A7A455">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rPr>
      </w:pPr>
    </w:p>
    <w:p w14:paraId="4BAEAE9B">
      <w:pPr>
        <w:keepLines w:val="0"/>
        <w:pageBreakBefore w:val="0"/>
        <w:wordWrap/>
        <w:topLinePunct w:val="0"/>
        <w:bidi w:val="0"/>
        <w:snapToGrid w:val="0"/>
        <w:spacing w:line="312" w:lineRule="auto"/>
        <w:ind w:firstLine="440" w:firstLineChars="200"/>
        <w:textAlignment w:val="auto"/>
        <w:rPr>
          <w:rFonts w:hint="eastAsia" w:ascii="宋体" w:hAnsi="宋体" w:eastAsia="宋体" w:cs="宋体"/>
          <w:color w:val="auto"/>
          <w:sz w:val="22"/>
          <w:szCs w:val="22"/>
          <w:highlight w:val="none"/>
        </w:rPr>
      </w:pPr>
    </w:p>
    <w:bookmarkEnd w:id="67"/>
    <w:bookmarkEnd w:id="68"/>
    <w:p w14:paraId="096E408C">
      <w:pPr>
        <w:keepLines w:val="0"/>
        <w:pageBreakBefore w:val="0"/>
        <w:wordWrap/>
        <w:topLinePunct w:val="0"/>
        <w:bidi w:val="0"/>
        <w:snapToGrid w:val="0"/>
        <w:spacing w:line="312" w:lineRule="auto"/>
        <w:textAlignment w:val="auto"/>
        <w:rPr>
          <w:rFonts w:hint="eastAsia" w:ascii="宋体" w:hAnsi="宋体" w:eastAsia="宋体" w:cs="宋体"/>
          <w:b/>
          <w:color w:val="auto"/>
          <w:kern w:val="2"/>
          <w:sz w:val="36"/>
          <w:szCs w:val="36"/>
          <w:highlight w:val="none"/>
          <w:lang w:val="zh-CN" w:eastAsia="zh-CN" w:bidi="ar-SA"/>
        </w:rPr>
      </w:pPr>
      <w:r>
        <w:rPr>
          <w:rFonts w:hint="eastAsia" w:ascii="宋体" w:hAnsi="宋体" w:eastAsia="宋体" w:cs="宋体"/>
          <w:b/>
          <w:color w:val="auto"/>
          <w:kern w:val="2"/>
          <w:sz w:val="36"/>
          <w:szCs w:val="36"/>
          <w:highlight w:val="none"/>
          <w:lang w:val="zh-CN" w:eastAsia="zh-CN" w:bidi="ar-SA"/>
        </w:rPr>
        <w:br w:type="page"/>
      </w:r>
    </w:p>
    <w:p w14:paraId="1072A4D5">
      <w:pPr>
        <w:pStyle w:val="2"/>
        <w:numPr>
          <w:ilvl w:val="0"/>
          <w:numId w:val="0"/>
        </w:numPr>
        <w:bidi w:val="0"/>
        <w:ind w:leftChars="0"/>
        <w:jc w:val="center"/>
        <w:rPr>
          <w:rFonts w:ascii="宋体" w:hAnsi="宋体" w:cs="黑体"/>
          <w:color w:val="auto"/>
          <w:sz w:val="28"/>
          <w:szCs w:val="28"/>
          <w:highlight w:val="none"/>
          <w:u w:val="single"/>
        </w:rPr>
      </w:pPr>
      <w:r>
        <w:rPr>
          <w:rFonts w:hint="eastAsia" w:ascii="宋体" w:hAnsi="宋体" w:eastAsia="宋体" w:cs="宋体"/>
          <w:b/>
          <w:color w:val="auto"/>
          <w:kern w:val="2"/>
          <w:sz w:val="32"/>
          <w:szCs w:val="32"/>
          <w:highlight w:val="none"/>
          <w:lang w:val="zh-CN" w:eastAsia="zh-CN" w:bidi="ar-SA"/>
        </w:rPr>
        <w:t>第</w:t>
      </w:r>
      <w:r>
        <w:rPr>
          <w:rFonts w:hint="eastAsia" w:ascii="宋体" w:hAnsi="宋体" w:cs="宋体"/>
          <w:b/>
          <w:color w:val="auto"/>
          <w:kern w:val="2"/>
          <w:sz w:val="32"/>
          <w:szCs w:val="32"/>
          <w:highlight w:val="none"/>
          <w:lang w:val="zh-CN" w:eastAsia="zh-CN" w:bidi="ar-SA"/>
        </w:rPr>
        <w:t>四</w:t>
      </w:r>
      <w:r>
        <w:rPr>
          <w:rFonts w:hint="eastAsia" w:ascii="宋体" w:hAnsi="宋体" w:eastAsia="宋体" w:cs="宋体"/>
          <w:b/>
          <w:color w:val="auto"/>
          <w:kern w:val="2"/>
          <w:sz w:val="32"/>
          <w:szCs w:val="32"/>
          <w:highlight w:val="none"/>
          <w:lang w:val="zh-CN" w:eastAsia="zh-CN" w:bidi="ar-SA"/>
        </w:rPr>
        <w:t>章 投标文件的格式</w:t>
      </w:r>
    </w:p>
    <w:p w14:paraId="08F637B4">
      <w:pPr>
        <w:jc w:val="center"/>
        <w:rPr>
          <w:rFonts w:ascii="宋体" w:hAnsi="宋体"/>
          <w:color w:val="auto"/>
          <w:sz w:val="32"/>
          <w:highlight w:val="none"/>
          <w:u w:val="single"/>
        </w:rPr>
      </w:pPr>
    </w:p>
    <w:p w14:paraId="323032C8">
      <w:pPr>
        <w:jc w:val="center"/>
        <w:rPr>
          <w:rFonts w:ascii="宋体"/>
          <w:color w:val="auto"/>
          <w:sz w:val="28"/>
          <w:highlight w:val="none"/>
        </w:rPr>
      </w:pPr>
      <w:r>
        <w:rPr>
          <w:rFonts w:ascii="宋体" w:hAnsi="宋体"/>
          <w:color w:val="auto"/>
          <w:sz w:val="32"/>
          <w:highlight w:val="none"/>
          <w:u w:val="single"/>
        </w:rPr>
        <w:t xml:space="preserve">                    </w:t>
      </w:r>
      <w:r>
        <w:rPr>
          <w:rFonts w:ascii="宋体" w:hAnsi="宋体"/>
          <w:color w:val="auto"/>
          <w:sz w:val="28"/>
          <w:highlight w:val="none"/>
        </w:rPr>
        <w:t>（项目名称）招标</w:t>
      </w:r>
    </w:p>
    <w:p w14:paraId="700C4187">
      <w:pPr>
        <w:jc w:val="both"/>
        <w:rPr>
          <w:rFonts w:ascii="宋体"/>
          <w:color w:val="auto"/>
          <w:sz w:val="28"/>
          <w:highlight w:val="none"/>
        </w:rPr>
      </w:pPr>
    </w:p>
    <w:p w14:paraId="65E411FE">
      <w:pPr>
        <w:jc w:val="center"/>
        <w:rPr>
          <w:rFonts w:ascii="宋体"/>
          <w:color w:val="auto"/>
          <w:sz w:val="28"/>
          <w:highlight w:val="none"/>
        </w:rPr>
      </w:pPr>
    </w:p>
    <w:p w14:paraId="185B16E5">
      <w:pPr>
        <w:jc w:val="center"/>
        <w:rPr>
          <w:rFonts w:ascii="宋体"/>
          <w:color w:val="auto"/>
          <w:sz w:val="28"/>
          <w:highlight w:val="none"/>
        </w:rPr>
      </w:pPr>
    </w:p>
    <w:p w14:paraId="42518C10">
      <w:pPr>
        <w:jc w:val="center"/>
        <w:rPr>
          <w:rFonts w:ascii="宋体"/>
          <w:color w:val="auto"/>
          <w:sz w:val="28"/>
          <w:highlight w:val="none"/>
        </w:rPr>
      </w:pPr>
    </w:p>
    <w:p w14:paraId="2F1CE91C">
      <w:pPr>
        <w:spacing w:before="240" w:beforeLines="100"/>
        <w:jc w:val="center"/>
        <w:rPr>
          <w:rFonts w:ascii="宋体"/>
          <w:color w:val="auto"/>
          <w:sz w:val="44"/>
          <w:highlight w:val="none"/>
        </w:rPr>
      </w:pPr>
      <w:r>
        <w:rPr>
          <w:rFonts w:ascii="宋体" w:hAnsi="宋体"/>
          <w:color w:val="auto"/>
          <w:sz w:val="44"/>
          <w:highlight w:val="none"/>
        </w:rPr>
        <w:t>投  标  文  件</w:t>
      </w:r>
    </w:p>
    <w:p w14:paraId="0C65CFAA">
      <w:pPr>
        <w:jc w:val="center"/>
        <w:rPr>
          <w:rFonts w:ascii="宋体"/>
          <w:color w:val="auto"/>
          <w:sz w:val="32"/>
          <w:highlight w:val="none"/>
        </w:rPr>
      </w:pPr>
    </w:p>
    <w:p w14:paraId="6996BFDA">
      <w:pPr>
        <w:keepNext w:val="0"/>
        <w:keepLines w:val="0"/>
        <w:widowControl/>
        <w:suppressLineNumbers w:val="0"/>
        <w:jc w:val="center"/>
        <w:rPr>
          <w:rFonts w:ascii="宋体"/>
          <w:color w:val="auto"/>
          <w:sz w:val="32"/>
          <w:highlight w:val="none"/>
        </w:rPr>
      </w:pPr>
      <w:r>
        <w:rPr>
          <w:rFonts w:ascii="宋体" w:hAnsi="宋体"/>
          <w:color w:val="auto"/>
          <w:sz w:val="32"/>
          <w:highlight w:val="none"/>
        </w:rPr>
        <w:t>（</w:t>
      </w:r>
      <w:r>
        <w:rPr>
          <w:rFonts w:hint="eastAsia" w:ascii="宋体" w:hAnsi="宋体"/>
          <w:color w:val="auto"/>
          <w:sz w:val="32"/>
          <w:highlight w:val="none"/>
          <w:lang w:val="en-US" w:eastAsia="zh-CN"/>
        </w:rPr>
        <w:t>资格审查</w:t>
      </w:r>
      <w:r>
        <w:rPr>
          <w:rFonts w:hint="eastAsia" w:ascii="宋体" w:hAnsi="宋体" w:eastAsia="宋体" w:cs="宋体"/>
          <w:color w:val="auto"/>
          <w:sz w:val="32"/>
          <w:highlight w:val="none"/>
          <w:lang w:val="en-US" w:eastAsia="zh-CN"/>
        </w:rPr>
        <w:t>资料</w:t>
      </w:r>
      <w:r>
        <w:rPr>
          <w:rFonts w:ascii="宋体" w:hAnsi="宋体"/>
          <w:color w:val="auto"/>
          <w:sz w:val="32"/>
          <w:highlight w:val="none"/>
        </w:rPr>
        <w:t>）</w:t>
      </w:r>
    </w:p>
    <w:p w14:paraId="3655E2E2">
      <w:pPr>
        <w:jc w:val="center"/>
        <w:rPr>
          <w:rFonts w:ascii="宋体"/>
          <w:color w:val="auto"/>
          <w:sz w:val="32"/>
          <w:highlight w:val="none"/>
        </w:rPr>
      </w:pPr>
    </w:p>
    <w:p w14:paraId="47DDA0D5">
      <w:pPr>
        <w:jc w:val="center"/>
        <w:rPr>
          <w:rFonts w:ascii="宋体"/>
          <w:color w:val="auto"/>
          <w:sz w:val="32"/>
          <w:highlight w:val="none"/>
        </w:rPr>
      </w:pPr>
    </w:p>
    <w:p w14:paraId="3E1E8915">
      <w:pPr>
        <w:jc w:val="both"/>
        <w:rPr>
          <w:rFonts w:ascii="宋体"/>
          <w:color w:val="auto"/>
          <w:sz w:val="32"/>
          <w:highlight w:val="none"/>
        </w:rPr>
      </w:pPr>
    </w:p>
    <w:p w14:paraId="468F5F00">
      <w:pPr>
        <w:jc w:val="center"/>
        <w:rPr>
          <w:rFonts w:ascii="宋体"/>
          <w:color w:val="auto"/>
          <w:sz w:val="32"/>
          <w:highlight w:val="none"/>
        </w:rPr>
      </w:pPr>
    </w:p>
    <w:p w14:paraId="392B58A1">
      <w:pPr>
        <w:jc w:val="center"/>
        <w:rPr>
          <w:rFonts w:ascii="宋体"/>
          <w:color w:val="auto"/>
          <w:sz w:val="32"/>
          <w:highlight w:val="none"/>
        </w:rPr>
      </w:pPr>
    </w:p>
    <w:p w14:paraId="763DABF0">
      <w:pPr>
        <w:jc w:val="center"/>
        <w:rPr>
          <w:rFonts w:ascii="宋体"/>
          <w:color w:val="auto"/>
          <w:sz w:val="32"/>
          <w:highlight w:val="none"/>
        </w:rPr>
      </w:pPr>
    </w:p>
    <w:p w14:paraId="24EA1B0B">
      <w:pPr>
        <w:spacing w:line="360" w:lineRule="auto"/>
        <w:jc w:val="center"/>
        <w:rPr>
          <w:rFonts w:ascii="宋体"/>
          <w:color w:val="auto"/>
          <w:sz w:val="28"/>
          <w:highlight w:val="none"/>
        </w:rPr>
      </w:pPr>
      <w:r>
        <w:rPr>
          <w:rFonts w:ascii="宋体" w:hAnsi="宋体"/>
          <w:color w:val="auto"/>
          <w:sz w:val="28"/>
          <w:highlight w:val="none"/>
        </w:rPr>
        <w:t>投标人：</w:t>
      </w:r>
      <w:r>
        <w:rPr>
          <w:rFonts w:ascii="宋体" w:hAnsi="宋体"/>
          <w:color w:val="auto"/>
          <w:sz w:val="28"/>
          <w:highlight w:val="none"/>
          <w:u w:val="single"/>
        </w:rPr>
        <w:t xml:space="preserve">                               </w:t>
      </w:r>
      <w:r>
        <w:rPr>
          <w:rFonts w:ascii="宋体" w:hAnsi="宋体"/>
          <w:color w:val="auto"/>
          <w:sz w:val="28"/>
          <w:highlight w:val="none"/>
        </w:rPr>
        <w:t>（盖单位章）</w:t>
      </w:r>
    </w:p>
    <w:p w14:paraId="012AD2FE">
      <w:pPr>
        <w:spacing w:line="360" w:lineRule="auto"/>
        <w:jc w:val="center"/>
        <w:rPr>
          <w:rFonts w:ascii="宋体"/>
          <w:color w:val="auto"/>
          <w:sz w:val="28"/>
          <w:highlight w:val="none"/>
        </w:rPr>
      </w:pPr>
      <w:r>
        <w:rPr>
          <w:rFonts w:ascii="宋体" w:hAnsi="宋体"/>
          <w:color w:val="auto"/>
          <w:sz w:val="28"/>
          <w:highlight w:val="none"/>
        </w:rPr>
        <w:t>法定代表人：</w:t>
      </w:r>
      <w:r>
        <w:rPr>
          <w:rFonts w:ascii="宋体" w:hAnsi="宋体"/>
          <w:color w:val="auto"/>
          <w:sz w:val="28"/>
          <w:highlight w:val="none"/>
          <w:u w:val="single"/>
        </w:rPr>
        <w:t xml:space="preserve">                         </w:t>
      </w:r>
      <w:r>
        <w:rPr>
          <w:rFonts w:ascii="宋体" w:hAnsi="宋体"/>
          <w:color w:val="auto"/>
          <w:sz w:val="28"/>
          <w:highlight w:val="none"/>
        </w:rPr>
        <w:t>（签字或盖章）</w:t>
      </w:r>
    </w:p>
    <w:p w14:paraId="032405F7">
      <w:pPr>
        <w:jc w:val="center"/>
        <w:rPr>
          <w:rFonts w:ascii="宋体"/>
          <w:color w:val="auto"/>
          <w:sz w:val="28"/>
          <w:highlight w:val="none"/>
        </w:rPr>
      </w:pPr>
      <w:r>
        <w:rPr>
          <w:rFonts w:ascii="宋体" w:hAnsi="宋体"/>
          <w:color w:val="auto"/>
          <w:sz w:val="28"/>
          <w:highlight w:val="none"/>
          <w:u w:val="single"/>
        </w:rPr>
        <w:t xml:space="preserve">         </w:t>
      </w:r>
      <w:r>
        <w:rPr>
          <w:rFonts w:ascii="宋体" w:hAnsi="宋体"/>
          <w:color w:val="auto"/>
          <w:sz w:val="28"/>
          <w:highlight w:val="none"/>
        </w:rPr>
        <w:t>年</w:t>
      </w:r>
      <w:r>
        <w:rPr>
          <w:rFonts w:ascii="宋体" w:hAnsi="宋体"/>
          <w:color w:val="auto"/>
          <w:sz w:val="28"/>
          <w:highlight w:val="none"/>
          <w:u w:val="single"/>
        </w:rPr>
        <w:t xml:space="preserve">         </w:t>
      </w:r>
      <w:r>
        <w:rPr>
          <w:rFonts w:ascii="宋体" w:hAnsi="宋体"/>
          <w:color w:val="auto"/>
          <w:sz w:val="28"/>
          <w:highlight w:val="none"/>
        </w:rPr>
        <w:t>月</w:t>
      </w:r>
      <w:r>
        <w:rPr>
          <w:rFonts w:ascii="宋体" w:hAnsi="宋体"/>
          <w:color w:val="auto"/>
          <w:sz w:val="28"/>
          <w:highlight w:val="none"/>
          <w:u w:val="single"/>
        </w:rPr>
        <w:t xml:space="preserve">         </w:t>
      </w:r>
      <w:r>
        <w:rPr>
          <w:rFonts w:ascii="宋体" w:hAnsi="宋体"/>
          <w:color w:val="auto"/>
          <w:sz w:val="28"/>
          <w:highlight w:val="none"/>
        </w:rPr>
        <w:t>日</w:t>
      </w:r>
    </w:p>
    <w:p w14:paraId="5534AC4A">
      <w:pPr>
        <w:rPr>
          <w:rFonts w:ascii="宋体" w:hAnsi="宋体"/>
          <w:color w:val="auto"/>
          <w:sz w:val="28"/>
          <w:highlight w:val="none"/>
        </w:rPr>
      </w:pPr>
    </w:p>
    <w:p w14:paraId="3E3698B4">
      <w:pPr>
        <w:pStyle w:val="18"/>
        <w:ind w:left="0" w:leftChars="0" w:firstLine="0" w:firstLineChars="0"/>
        <w:jc w:val="both"/>
        <w:rPr>
          <w:rFonts w:ascii="宋体" w:hAnsi="宋体"/>
          <w:bCs/>
          <w:color w:val="auto"/>
          <w:sz w:val="28"/>
          <w:szCs w:val="28"/>
          <w:highlight w:val="none"/>
        </w:rPr>
      </w:pPr>
    </w:p>
    <w:p w14:paraId="4565BBA7">
      <w:pPr>
        <w:rPr>
          <w:rFonts w:hint="eastAsia" w:ascii="宋体" w:hAnsi="宋体"/>
          <w:b/>
          <w:color w:val="auto"/>
          <w:sz w:val="36"/>
          <w:szCs w:val="36"/>
          <w:highlight w:val="none"/>
        </w:rPr>
      </w:pPr>
      <w:r>
        <w:rPr>
          <w:rFonts w:hint="eastAsia" w:ascii="宋体" w:hAnsi="宋体"/>
          <w:b/>
          <w:color w:val="auto"/>
          <w:sz w:val="36"/>
          <w:szCs w:val="36"/>
          <w:highlight w:val="none"/>
        </w:rPr>
        <w:br w:type="page"/>
      </w:r>
    </w:p>
    <w:p w14:paraId="63B8A89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olor w:val="auto"/>
          <w:sz w:val="24"/>
          <w:szCs w:val="24"/>
          <w:highlight w:val="none"/>
          <w:lang w:val="en-US" w:eastAsia="zh-CN"/>
        </w:rPr>
      </w:pPr>
    </w:p>
    <w:p w14:paraId="42CF9DF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资格审查资料目录：</w:t>
      </w:r>
    </w:p>
    <w:p w14:paraId="6A7A678E">
      <w:pPr>
        <w:pStyle w:val="100"/>
        <w:rPr>
          <w:rFonts w:hint="eastAsia"/>
          <w:color w:val="auto"/>
          <w:highlight w:val="none"/>
          <w:lang w:val="en-US" w:eastAsia="zh-CN"/>
        </w:rPr>
      </w:pPr>
    </w:p>
    <w:p w14:paraId="5ACB04D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color w:val="auto"/>
          <w:sz w:val="21"/>
          <w:szCs w:val="21"/>
          <w:highlight w:val="none"/>
          <w:lang w:val="en-US" w:eastAsia="zh-CN"/>
        </w:rPr>
      </w:pPr>
    </w:p>
    <w:p w14:paraId="58DE0244">
      <w:pPr>
        <w:keepNext w:val="0"/>
        <w:keepLines w:val="0"/>
        <w:pageBreakBefore w:val="0"/>
        <w:widowControl w:val="0"/>
        <w:kinsoku/>
        <w:wordWrap/>
        <w:overflowPunct/>
        <w:topLinePunct w:val="0"/>
        <w:bidi w:val="0"/>
        <w:spacing w:line="440" w:lineRule="exact"/>
        <w:ind w:firstLine="440" w:firstLineChars="200"/>
        <w:textAlignment w:val="auto"/>
        <w:rPr>
          <w:rFonts w:hint="eastAsia" w:ascii="宋体" w:hAnsi="宋体" w:eastAsia="宋体"/>
          <w:color w:val="auto"/>
          <w:sz w:val="22"/>
          <w:szCs w:val="22"/>
          <w:highlight w:val="none"/>
          <w:lang w:eastAsia="zh-CN"/>
        </w:rPr>
      </w:pPr>
      <w:r>
        <w:rPr>
          <w:rFonts w:hint="eastAsia" w:ascii="宋体" w:hAnsi="宋体"/>
          <w:color w:val="auto"/>
          <w:sz w:val="22"/>
          <w:szCs w:val="22"/>
          <w:highlight w:val="none"/>
          <w:lang w:val="en-US" w:eastAsia="zh-CN"/>
        </w:rPr>
        <w:t>1.</w:t>
      </w:r>
      <w:r>
        <w:rPr>
          <w:rFonts w:hint="eastAsia" w:ascii="宋体" w:hAnsi="宋体"/>
          <w:color w:val="auto"/>
          <w:sz w:val="22"/>
          <w:szCs w:val="22"/>
          <w:highlight w:val="none"/>
        </w:rPr>
        <w:t>法定代表人身份证明</w:t>
      </w:r>
      <w:r>
        <w:rPr>
          <w:rFonts w:hint="eastAsia"/>
          <w:color w:val="auto"/>
          <w:sz w:val="22"/>
          <w:szCs w:val="28"/>
          <w:highlight w:val="none"/>
        </w:rPr>
        <w:t>（格式见后）</w:t>
      </w:r>
      <w:r>
        <w:rPr>
          <w:rFonts w:hint="eastAsia" w:ascii="宋体" w:hAnsi="宋体"/>
          <w:color w:val="auto"/>
          <w:sz w:val="22"/>
          <w:szCs w:val="22"/>
          <w:highlight w:val="none"/>
          <w:lang w:eastAsia="zh-CN"/>
        </w:rPr>
        <w:t>；</w:t>
      </w:r>
    </w:p>
    <w:p w14:paraId="4EDA76B9">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宋体" w:hAnsi="宋体" w:eastAsia="宋体" w:cs="宋体"/>
          <w:color w:val="auto"/>
          <w:sz w:val="22"/>
          <w:szCs w:val="22"/>
          <w:highlight w:val="none"/>
          <w:lang w:eastAsia="zh-CN"/>
        </w:rPr>
      </w:pPr>
      <w:r>
        <w:rPr>
          <w:rFonts w:hint="eastAsia" w:ascii="宋体" w:hAnsi="宋体"/>
          <w:color w:val="auto"/>
          <w:sz w:val="22"/>
          <w:szCs w:val="22"/>
          <w:highlight w:val="none"/>
          <w:lang w:val="en-US" w:eastAsia="zh-CN"/>
        </w:rPr>
        <w:t>2.</w:t>
      </w:r>
      <w:r>
        <w:rPr>
          <w:rFonts w:hint="eastAsia" w:ascii="宋体" w:hAnsi="宋体"/>
          <w:color w:val="auto"/>
          <w:sz w:val="22"/>
          <w:szCs w:val="22"/>
          <w:highlight w:val="none"/>
          <w:lang w:val="zh-CN"/>
        </w:rPr>
        <w:t>法定代</w:t>
      </w:r>
      <w:r>
        <w:rPr>
          <w:rFonts w:hint="eastAsia" w:hAnsi="宋体"/>
          <w:color w:val="auto"/>
          <w:sz w:val="22"/>
          <w:szCs w:val="22"/>
          <w:highlight w:val="none"/>
        </w:rPr>
        <w:t>表人授权书</w:t>
      </w:r>
      <w:r>
        <w:rPr>
          <w:rFonts w:hint="eastAsia"/>
          <w:color w:val="auto"/>
          <w:sz w:val="22"/>
          <w:szCs w:val="28"/>
          <w:highlight w:val="none"/>
        </w:rPr>
        <w:t>（格式见后）</w:t>
      </w:r>
      <w:r>
        <w:rPr>
          <w:rFonts w:hint="eastAsia" w:ascii="宋体" w:hAnsi="宋体"/>
          <w:color w:val="auto"/>
          <w:sz w:val="22"/>
          <w:szCs w:val="22"/>
          <w:highlight w:val="none"/>
          <w:lang w:eastAsia="zh-CN"/>
        </w:rPr>
        <w:t>；</w:t>
      </w:r>
    </w:p>
    <w:p w14:paraId="24DDC7DB">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宋体" w:hAnsi="宋体" w:eastAsia="宋体" w:cs="宋体"/>
          <w:color w:val="auto"/>
          <w:sz w:val="22"/>
          <w:szCs w:val="22"/>
          <w:highlight w:val="none"/>
          <w:lang w:eastAsia="zh-CN"/>
        </w:rPr>
      </w:pPr>
      <w:r>
        <w:rPr>
          <w:rFonts w:hint="eastAsia" w:ascii="宋体" w:hAnsi="宋体"/>
          <w:color w:val="auto"/>
          <w:sz w:val="22"/>
          <w:szCs w:val="22"/>
          <w:highlight w:val="none"/>
          <w:lang w:val="en-US" w:eastAsia="zh-CN"/>
        </w:rPr>
        <w:t>3.</w:t>
      </w:r>
      <w:r>
        <w:rPr>
          <w:rFonts w:hint="eastAsia" w:ascii="宋体" w:hAnsi="宋体"/>
          <w:color w:val="auto"/>
          <w:sz w:val="22"/>
          <w:szCs w:val="22"/>
          <w:highlight w:val="none"/>
        </w:rPr>
        <w:t>企业营业执照</w:t>
      </w:r>
      <w:r>
        <w:rPr>
          <w:rFonts w:hint="eastAsia"/>
          <w:color w:val="auto"/>
          <w:sz w:val="22"/>
          <w:szCs w:val="28"/>
          <w:highlight w:val="none"/>
        </w:rPr>
        <w:t>（或事业单位法人证书）</w:t>
      </w:r>
      <w:r>
        <w:rPr>
          <w:rFonts w:hint="eastAsia"/>
          <w:color w:val="auto"/>
          <w:sz w:val="22"/>
          <w:szCs w:val="28"/>
          <w:highlight w:val="none"/>
          <w:lang w:eastAsia="zh-CN"/>
        </w:rPr>
        <w:t>复印件</w:t>
      </w:r>
      <w:r>
        <w:rPr>
          <w:rFonts w:hint="eastAsia" w:ascii="宋体" w:hAnsi="宋体" w:cs="宋体"/>
          <w:color w:val="auto"/>
          <w:sz w:val="22"/>
          <w:szCs w:val="22"/>
          <w:highlight w:val="none"/>
          <w:lang w:eastAsia="zh-CN"/>
        </w:rPr>
        <w:t>加盖投标人公章</w:t>
      </w:r>
      <w:r>
        <w:rPr>
          <w:rFonts w:hint="eastAsia"/>
          <w:color w:val="auto"/>
          <w:sz w:val="22"/>
          <w:szCs w:val="28"/>
          <w:highlight w:val="none"/>
          <w:lang w:eastAsia="zh-CN"/>
        </w:rPr>
        <w:t>；</w:t>
      </w:r>
    </w:p>
    <w:p w14:paraId="364F1C01">
      <w:pPr>
        <w:keepNext w:val="0"/>
        <w:keepLines w:val="0"/>
        <w:pageBreakBefore w:val="0"/>
        <w:widowControl w:val="0"/>
        <w:kinsoku/>
        <w:wordWrap/>
        <w:overflowPunct/>
        <w:topLinePunct w:val="0"/>
        <w:autoSpaceDE/>
        <w:autoSpaceDN/>
        <w:bidi w:val="0"/>
        <w:adjustRightInd/>
        <w:snapToGrid/>
        <w:spacing w:line="440" w:lineRule="exact"/>
        <w:ind w:leftChars="0" w:firstLine="440" w:firstLineChars="200"/>
        <w:textAlignment w:val="auto"/>
        <w:rPr>
          <w:rFonts w:hint="default" w:ascii="宋体" w:hAnsi="宋体"/>
          <w:color w:val="auto"/>
          <w:sz w:val="22"/>
          <w:szCs w:val="22"/>
          <w:highlight w:val="none"/>
          <w:lang w:val="en-US" w:eastAsia="zh-CN"/>
        </w:rPr>
      </w:pPr>
      <w:r>
        <w:rPr>
          <w:rFonts w:hint="eastAsia" w:ascii="宋体" w:hAnsi="宋体"/>
          <w:color w:val="auto"/>
          <w:sz w:val="22"/>
          <w:szCs w:val="22"/>
          <w:highlight w:val="none"/>
          <w:lang w:val="en-US" w:eastAsia="zh-CN"/>
        </w:rPr>
        <w:t>4.投标资格业绩证明材料并加盖投标人公章；</w:t>
      </w:r>
    </w:p>
    <w:p w14:paraId="4F38068C">
      <w:pPr>
        <w:keepNext w:val="0"/>
        <w:keepLines w:val="0"/>
        <w:pageBreakBefore w:val="0"/>
        <w:widowControl w:val="0"/>
        <w:kinsoku/>
        <w:wordWrap/>
        <w:overflowPunct/>
        <w:topLinePunct w:val="0"/>
        <w:autoSpaceDE/>
        <w:autoSpaceDN/>
        <w:bidi w:val="0"/>
        <w:adjustRightInd/>
        <w:snapToGrid/>
        <w:spacing w:line="440" w:lineRule="exact"/>
        <w:ind w:leftChars="0" w:firstLine="440" w:firstLineChars="200"/>
        <w:textAlignment w:val="auto"/>
        <w:rPr>
          <w:rFonts w:hint="eastAsia" w:ascii="宋体" w:hAnsi="宋体" w:eastAsia="宋体" w:cs="宋体"/>
          <w:color w:val="auto"/>
          <w:sz w:val="22"/>
          <w:szCs w:val="22"/>
          <w:highlight w:val="none"/>
          <w:lang w:eastAsia="zh-CN"/>
        </w:rPr>
      </w:pPr>
      <w:r>
        <w:rPr>
          <w:rFonts w:hint="eastAsia" w:ascii="宋体" w:hAnsi="宋体"/>
          <w:color w:val="auto"/>
          <w:sz w:val="22"/>
          <w:szCs w:val="22"/>
          <w:highlight w:val="none"/>
          <w:lang w:val="en-US" w:eastAsia="zh-CN"/>
        </w:rPr>
        <w:t>5.</w:t>
      </w:r>
      <w:r>
        <w:rPr>
          <w:rFonts w:hint="eastAsia" w:ascii="宋体" w:hAnsi="宋体"/>
          <w:color w:val="auto"/>
          <w:sz w:val="22"/>
          <w:szCs w:val="22"/>
          <w:highlight w:val="none"/>
        </w:rPr>
        <w:t>承诺书</w:t>
      </w:r>
      <w:r>
        <w:rPr>
          <w:rFonts w:hint="eastAsia"/>
          <w:color w:val="auto"/>
          <w:sz w:val="22"/>
          <w:szCs w:val="28"/>
          <w:highlight w:val="none"/>
        </w:rPr>
        <w:t>（格式见后）</w:t>
      </w:r>
      <w:r>
        <w:rPr>
          <w:rFonts w:hint="eastAsia"/>
          <w:color w:val="auto"/>
          <w:sz w:val="22"/>
          <w:szCs w:val="28"/>
          <w:highlight w:val="none"/>
          <w:lang w:eastAsia="zh-CN"/>
        </w:rPr>
        <w:t>。</w:t>
      </w:r>
    </w:p>
    <w:p w14:paraId="2D07B945">
      <w:pPr>
        <w:pStyle w:val="18"/>
        <w:keepNext w:val="0"/>
        <w:keepLines w:val="0"/>
        <w:pageBreakBefore w:val="0"/>
        <w:widowControl w:val="0"/>
        <w:kinsoku/>
        <w:wordWrap/>
        <w:overflowPunct/>
        <w:topLinePunct w:val="0"/>
        <w:autoSpaceDE/>
        <w:autoSpaceDN/>
        <w:bidi w:val="0"/>
        <w:adjustRightInd/>
        <w:snapToGrid/>
        <w:spacing w:after="0" w:line="440" w:lineRule="exact"/>
        <w:jc w:val="both"/>
        <w:textAlignment w:val="auto"/>
        <w:rPr>
          <w:rFonts w:hint="eastAsia" w:ascii="宋体" w:hAnsi="宋体" w:eastAsia="宋体" w:cs="宋体"/>
          <w:color w:val="auto"/>
          <w:kern w:val="2"/>
          <w:sz w:val="22"/>
          <w:szCs w:val="22"/>
          <w:highlight w:val="none"/>
          <w:lang w:val="en-US" w:eastAsia="zh-CN" w:bidi="ar-SA"/>
        </w:rPr>
      </w:pPr>
    </w:p>
    <w:p w14:paraId="12DE75F8">
      <w:pPr>
        <w:pStyle w:val="18"/>
        <w:keepNext w:val="0"/>
        <w:keepLines w:val="0"/>
        <w:pageBreakBefore w:val="0"/>
        <w:widowControl w:val="0"/>
        <w:kinsoku/>
        <w:wordWrap/>
        <w:overflowPunct/>
        <w:topLinePunct w:val="0"/>
        <w:autoSpaceDE/>
        <w:autoSpaceDN/>
        <w:bidi w:val="0"/>
        <w:adjustRightInd/>
        <w:snapToGrid/>
        <w:spacing w:after="0" w:line="440" w:lineRule="exact"/>
        <w:jc w:val="both"/>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cs="宋体"/>
          <w:color w:val="auto"/>
          <w:kern w:val="2"/>
          <w:sz w:val="22"/>
          <w:szCs w:val="22"/>
          <w:highlight w:val="none"/>
          <w:lang w:val="en-US" w:eastAsia="zh-CN" w:bidi="ar-SA"/>
        </w:rPr>
        <w:t>注：</w:t>
      </w:r>
      <w:r>
        <w:rPr>
          <w:rFonts w:hint="eastAsia" w:ascii="宋体" w:hAnsi="宋体" w:eastAsia="宋体" w:cs="宋体"/>
          <w:color w:val="auto"/>
          <w:kern w:val="2"/>
          <w:sz w:val="22"/>
          <w:szCs w:val="22"/>
          <w:highlight w:val="none"/>
          <w:lang w:val="en-US" w:eastAsia="zh-CN" w:bidi="ar-SA"/>
        </w:rPr>
        <w:t>不能提供资格审查资料的任何一项或不符合资格审查要求的投标人为资格审查不合格。</w:t>
      </w:r>
    </w:p>
    <w:p w14:paraId="6E6EA1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b/>
          <w:color w:val="auto"/>
          <w:sz w:val="36"/>
          <w:szCs w:val="36"/>
          <w:highlight w:val="none"/>
        </w:rPr>
      </w:pPr>
      <w:r>
        <w:rPr>
          <w:rFonts w:hint="eastAsia" w:ascii="宋体" w:hAnsi="宋体"/>
          <w:b/>
          <w:color w:val="auto"/>
          <w:sz w:val="36"/>
          <w:szCs w:val="36"/>
          <w:highlight w:val="none"/>
        </w:rPr>
        <w:br w:type="page"/>
      </w:r>
    </w:p>
    <w:p w14:paraId="45DABC0C">
      <w:pPr>
        <w:pStyle w:val="18"/>
        <w:jc w:val="center"/>
        <w:rPr>
          <w:rFonts w:ascii="宋体" w:hAnsi="宋体"/>
          <w:b/>
          <w:color w:val="auto"/>
          <w:sz w:val="36"/>
          <w:szCs w:val="36"/>
          <w:highlight w:val="none"/>
        </w:rPr>
      </w:pPr>
      <w:r>
        <w:rPr>
          <w:rFonts w:hint="eastAsia" w:ascii="宋体" w:hAnsi="宋体"/>
          <w:b/>
          <w:color w:val="auto"/>
          <w:sz w:val="36"/>
          <w:szCs w:val="36"/>
          <w:highlight w:val="none"/>
          <w:lang w:eastAsia="zh-CN"/>
        </w:rPr>
        <w:t>一、</w:t>
      </w:r>
      <w:r>
        <w:rPr>
          <w:rFonts w:hint="eastAsia" w:ascii="宋体" w:hAnsi="宋体"/>
          <w:b/>
          <w:color w:val="auto"/>
          <w:sz w:val="36"/>
          <w:szCs w:val="36"/>
          <w:highlight w:val="none"/>
        </w:rPr>
        <w:t>法定代表人身份证明</w:t>
      </w:r>
    </w:p>
    <w:p w14:paraId="7EA28DA3">
      <w:pPr>
        <w:pStyle w:val="18"/>
        <w:spacing w:line="400" w:lineRule="exact"/>
        <w:rPr>
          <w:rFonts w:ascii="宋体" w:hAnsi="宋体"/>
          <w:color w:val="auto"/>
          <w:sz w:val="22"/>
          <w:szCs w:val="22"/>
          <w:highlight w:val="none"/>
        </w:rPr>
      </w:pPr>
    </w:p>
    <w:p w14:paraId="7917D785">
      <w:pPr>
        <w:pStyle w:val="18"/>
        <w:spacing w:line="400" w:lineRule="exact"/>
        <w:rPr>
          <w:rFonts w:ascii="宋体" w:hAnsi="宋体"/>
          <w:color w:val="auto"/>
          <w:sz w:val="22"/>
          <w:szCs w:val="22"/>
          <w:highlight w:val="none"/>
          <w:u w:val="single"/>
        </w:rPr>
      </w:pPr>
      <w:r>
        <w:rPr>
          <w:rFonts w:hint="eastAsia" w:ascii="宋体" w:hAnsi="宋体"/>
          <w:color w:val="auto"/>
          <w:sz w:val="22"/>
          <w:szCs w:val="22"/>
          <w:highlight w:val="none"/>
        </w:rPr>
        <w:t>投标人名称：</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u w:val="single"/>
        </w:rPr>
        <w:t xml:space="preserve">              </w:t>
      </w:r>
    </w:p>
    <w:p w14:paraId="6704BC1F">
      <w:pPr>
        <w:pStyle w:val="18"/>
        <w:spacing w:line="400" w:lineRule="exact"/>
        <w:rPr>
          <w:rFonts w:ascii="宋体" w:hAnsi="宋体"/>
          <w:color w:val="auto"/>
          <w:sz w:val="22"/>
          <w:szCs w:val="22"/>
          <w:highlight w:val="none"/>
        </w:rPr>
      </w:pPr>
    </w:p>
    <w:p w14:paraId="44C72018">
      <w:pPr>
        <w:pStyle w:val="18"/>
        <w:spacing w:line="400" w:lineRule="exact"/>
        <w:rPr>
          <w:rFonts w:ascii="宋体" w:hAnsi="宋体"/>
          <w:color w:val="auto"/>
          <w:sz w:val="22"/>
          <w:szCs w:val="22"/>
          <w:highlight w:val="none"/>
          <w:u w:val="single"/>
        </w:rPr>
      </w:pPr>
      <w:r>
        <w:rPr>
          <w:rFonts w:hint="eastAsia" w:ascii="宋体" w:hAnsi="宋体"/>
          <w:color w:val="auto"/>
          <w:sz w:val="22"/>
          <w:szCs w:val="22"/>
          <w:highlight w:val="none"/>
        </w:rPr>
        <w:t>单位性质：</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u w:val="single"/>
        </w:rPr>
        <w:t xml:space="preserve">              </w:t>
      </w:r>
    </w:p>
    <w:p w14:paraId="20B878DF">
      <w:pPr>
        <w:pStyle w:val="18"/>
        <w:spacing w:line="400" w:lineRule="exact"/>
        <w:rPr>
          <w:rFonts w:ascii="宋体" w:hAnsi="宋体"/>
          <w:color w:val="auto"/>
          <w:sz w:val="22"/>
          <w:szCs w:val="22"/>
          <w:highlight w:val="none"/>
        </w:rPr>
      </w:pPr>
    </w:p>
    <w:p w14:paraId="406693DA">
      <w:pPr>
        <w:pStyle w:val="18"/>
        <w:spacing w:line="400" w:lineRule="exact"/>
        <w:rPr>
          <w:rFonts w:ascii="宋体" w:hAnsi="宋体"/>
          <w:color w:val="auto"/>
          <w:sz w:val="22"/>
          <w:szCs w:val="22"/>
          <w:highlight w:val="none"/>
          <w:u w:val="single"/>
        </w:rPr>
      </w:pPr>
      <w:r>
        <w:rPr>
          <w:rFonts w:hint="eastAsia" w:ascii="宋体" w:hAnsi="宋体"/>
          <w:color w:val="auto"/>
          <w:sz w:val="22"/>
          <w:szCs w:val="22"/>
          <w:highlight w:val="none"/>
        </w:rPr>
        <w:t>地    址：</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 xml:space="preserve"> </w:t>
      </w:r>
    </w:p>
    <w:p w14:paraId="5BF03E2C">
      <w:pPr>
        <w:pStyle w:val="18"/>
        <w:spacing w:line="400" w:lineRule="exact"/>
        <w:rPr>
          <w:rFonts w:ascii="宋体" w:hAnsi="宋体"/>
          <w:color w:val="auto"/>
          <w:sz w:val="22"/>
          <w:szCs w:val="22"/>
          <w:highlight w:val="none"/>
          <w:u w:val="single"/>
        </w:rPr>
      </w:pPr>
    </w:p>
    <w:p w14:paraId="7BF09FF3">
      <w:pPr>
        <w:pStyle w:val="18"/>
        <w:spacing w:line="400" w:lineRule="exact"/>
        <w:rPr>
          <w:rFonts w:ascii="宋体" w:hAnsi="宋体"/>
          <w:color w:val="auto"/>
          <w:sz w:val="22"/>
          <w:szCs w:val="22"/>
          <w:highlight w:val="none"/>
        </w:rPr>
      </w:pPr>
      <w:r>
        <w:rPr>
          <w:rFonts w:hint="eastAsia" w:ascii="宋体" w:hAnsi="宋体"/>
          <w:color w:val="auto"/>
          <w:sz w:val="22"/>
          <w:szCs w:val="22"/>
          <w:highlight w:val="none"/>
        </w:rPr>
        <w:t>成立时间：</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年</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月</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日</w:t>
      </w:r>
    </w:p>
    <w:p w14:paraId="55FBE2F9">
      <w:pPr>
        <w:pStyle w:val="18"/>
        <w:spacing w:line="400" w:lineRule="exact"/>
        <w:rPr>
          <w:rFonts w:ascii="宋体" w:hAnsi="宋体"/>
          <w:color w:val="auto"/>
          <w:sz w:val="22"/>
          <w:szCs w:val="22"/>
          <w:highlight w:val="none"/>
        </w:rPr>
      </w:pPr>
    </w:p>
    <w:p w14:paraId="4CFC96DF">
      <w:pPr>
        <w:pStyle w:val="18"/>
        <w:spacing w:line="400" w:lineRule="exact"/>
        <w:rPr>
          <w:rFonts w:ascii="宋体" w:hAnsi="宋体"/>
          <w:color w:val="auto"/>
          <w:sz w:val="22"/>
          <w:szCs w:val="22"/>
          <w:highlight w:val="none"/>
          <w:u w:val="single"/>
        </w:rPr>
      </w:pPr>
      <w:r>
        <w:rPr>
          <w:rFonts w:hint="eastAsia" w:ascii="宋体" w:hAnsi="宋体"/>
          <w:color w:val="auto"/>
          <w:sz w:val="22"/>
          <w:szCs w:val="22"/>
          <w:highlight w:val="none"/>
        </w:rPr>
        <w:t>经营期限：</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u w:val="single"/>
        </w:rPr>
        <w:t xml:space="preserve">                      </w:t>
      </w:r>
    </w:p>
    <w:p w14:paraId="5719251F">
      <w:pPr>
        <w:pStyle w:val="18"/>
        <w:spacing w:line="400" w:lineRule="exact"/>
        <w:rPr>
          <w:rFonts w:ascii="宋体" w:hAnsi="宋体"/>
          <w:color w:val="auto"/>
          <w:sz w:val="22"/>
          <w:szCs w:val="22"/>
          <w:highlight w:val="none"/>
          <w:u w:val="single"/>
        </w:rPr>
      </w:pPr>
    </w:p>
    <w:p w14:paraId="6BF5E888">
      <w:pPr>
        <w:pStyle w:val="18"/>
        <w:spacing w:line="400" w:lineRule="exact"/>
        <w:rPr>
          <w:rFonts w:hint="default" w:ascii="宋体" w:hAnsi="宋体" w:eastAsia="宋体"/>
          <w:color w:val="auto"/>
          <w:sz w:val="22"/>
          <w:szCs w:val="22"/>
          <w:highlight w:val="none"/>
          <w:u w:val="single"/>
          <w:lang w:val="en-US" w:eastAsia="zh-CN"/>
        </w:rPr>
      </w:pPr>
      <w:r>
        <w:rPr>
          <w:rFonts w:hint="eastAsia" w:ascii="宋体" w:hAnsi="宋体"/>
          <w:color w:val="auto"/>
          <w:sz w:val="22"/>
          <w:szCs w:val="22"/>
          <w:highlight w:val="none"/>
        </w:rPr>
        <w:t>姓名：</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性别：</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年龄：</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职务：</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p>
    <w:p w14:paraId="6412F7FA">
      <w:pPr>
        <w:pStyle w:val="18"/>
        <w:spacing w:line="400" w:lineRule="exact"/>
        <w:rPr>
          <w:rFonts w:ascii="宋体" w:hAnsi="宋体"/>
          <w:color w:val="auto"/>
          <w:sz w:val="22"/>
          <w:szCs w:val="22"/>
          <w:highlight w:val="none"/>
          <w:u w:val="single"/>
        </w:rPr>
      </w:pPr>
    </w:p>
    <w:p w14:paraId="67C82E3B">
      <w:pPr>
        <w:pStyle w:val="18"/>
        <w:spacing w:line="400" w:lineRule="exact"/>
        <w:rPr>
          <w:rFonts w:ascii="宋体" w:hAnsi="宋体"/>
          <w:color w:val="auto"/>
          <w:sz w:val="22"/>
          <w:szCs w:val="22"/>
          <w:highlight w:val="none"/>
        </w:rPr>
      </w:pPr>
      <w:r>
        <w:rPr>
          <w:rFonts w:hint="eastAsia" w:ascii="宋体" w:hAnsi="宋体"/>
          <w:color w:val="auto"/>
          <w:sz w:val="22"/>
          <w:szCs w:val="22"/>
          <w:highlight w:val="none"/>
        </w:rPr>
        <w:t>系</w:t>
      </w:r>
      <w:r>
        <w:rPr>
          <w:rFonts w:hint="eastAsia" w:ascii="宋体" w:hAnsi="宋体"/>
          <w:color w:val="auto"/>
          <w:sz w:val="22"/>
          <w:szCs w:val="22"/>
          <w:highlight w:val="none"/>
          <w:u w:val="single"/>
        </w:rPr>
        <w:t xml:space="preserve">        （投标人单位名称）               </w:t>
      </w:r>
      <w:r>
        <w:rPr>
          <w:rFonts w:hint="eastAsia" w:ascii="宋体" w:hAnsi="宋体"/>
          <w:color w:val="auto"/>
          <w:sz w:val="22"/>
          <w:szCs w:val="22"/>
          <w:highlight w:val="none"/>
        </w:rPr>
        <w:t>的法定代表人。</w:t>
      </w:r>
    </w:p>
    <w:p w14:paraId="3D21A2CC">
      <w:pPr>
        <w:pStyle w:val="18"/>
        <w:rPr>
          <w:rFonts w:ascii="宋体" w:hAnsi="宋体"/>
          <w:color w:val="auto"/>
          <w:sz w:val="22"/>
          <w:szCs w:val="22"/>
          <w:highlight w:val="none"/>
        </w:rPr>
      </w:pPr>
    </w:p>
    <w:p w14:paraId="41DFE9B2">
      <w:pPr>
        <w:pStyle w:val="18"/>
        <w:ind w:firstLine="440" w:firstLineChars="200"/>
        <w:rPr>
          <w:rFonts w:ascii="宋体" w:hAnsi="宋体"/>
          <w:color w:val="auto"/>
          <w:sz w:val="22"/>
          <w:szCs w:val="22"/>
          <w:highlight w:val="none"/>
        </w:rPr>
      </w:pPr>
      <w:r>
        <w:rPr>
          <w:rFonts w:hint="eastAsia" w:ascii="宋体" w:hAnsi="宋体"/>
          <w:color w:val="auto"/>
          <w:sz w:val="22"/>
          <w:szCs w:val="22"/>
          <w:highlight w:val="none"/>
        </w:rPr>
        <w:t>特此证明。</w:t>
      </w:r>
    </w:p>
    <w:p w14:paraId="7FA7AEF6">
      <w:pPr>
        <w:pStyle w:val="18"/>
        <w:rPr>
          <w:rFonts w:ascii="宋体" w:hAnsi="宋体"/>
          <w:color w:val="auto"/>
          <w:sz w:val="22"/>
          <w:szCs w:val="22"/>
          <w:highlight w:val="none"/>
        </w:rPr>
      </w:pPr>
    </w:p>
    <w:p w14:paraId="7AE63F92">
      <w:pPr>
        <w:pStyle w:val="18"/>
        <w:ind w:firstLine="2094" w:firstLineChars="952"/>
        <w:rPr>
          <w:rFonts w:ascii="宋体" w:hAnsi="宋体"/>
          <w:color w:val="auto"/>
          <w:sz w:val="22"/>
          <w:szCs w:val="22"/>
          <w:highlight w:val="none"/>
        </w:rPr>
      </w:pPr>
    </w:p>
    <w:p w14:paraId="76B17077">
      <w:pPr>
        <w:pStyle w:val="18"/>
        <w:ind w:firstLine="2094" w:firstLineChars="952"/>
        <w:rPr>
          <w:rFonts w:ascii="宋体" w:hAnsi="宋体"/>
          <w:color w:val="auto"/>
          <w:sz w:val="22"/>
          <w:szCs w:val="22"/>
          <w:highlight w:val="none"/>
        </w:rPr>
      </w:pPr>
    </w:p>
    <w:p w14:paraId="50EB5A16">
      <w:pPr>
        <w:pStyle w:val="18"/>
        <w:ind w:firstLine="2094" w:firstLineChars="952"/>
        <w:rPr>
          <w:rFonts w:ascii="宋体" w:hAnsi="宋体"/>
          <w:color w:val="auto"/>
          <w:sz w:val="22"/>
          <w:szCs w:val="22"/>
          <w:highlight w:val="none"/>
        </w:rPr>
      </w:pPr>
    </w:p>
    <w:p w14:paraId="53EDCBE9">
      <w:pPr>
        <w:pStyle w:val="18"/>
        <w:ind w:firstLine="2754" w:firstLineChars="1252"/>
        <w:rPr>
          <w:rFonts w:ascii="宋体" w:hAnsi="宋体"/>
          <w:color w:val="auto"/>
          <w:sz w:val="22"/>
          <w:szCs w:val="22"/>
          <w:highlight w:val="none"/>
        </w:rPr>
      </w:pPr>
      <w:r>
        <w:rPr>
          <w:rFonts w:hint="eastAsia" w:ascii="宋体" w:hAnsi="宋体"/>
          <w:color w:val="auto"/>
          <w:sz w:val="22"/>
          <w:szCs w:val="22"/>
          <w:highlight w:val="none"/>
        </w:rPr>
        <w:t>投标人：</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none"/>
        </w:rPr>
        <w:t xml:space="preserve">（盖章）  </w:t>
      </w:r>
    </w:p>
    <w:p w14:paraId="5F5AE266">
      <w:pPr>
        <w:pStyle w:val="18"/>
        <w:ind w:firstLine="2090" w:firstLineChars="950"/>
        <w:rPr>
          <w:rFonts w:ascii="宋体" w:hAnsi="宋体"/>
          <w:color w:val="auto"/>
          <w:sz w:val="22"/>
          <w:szCs w:val="22"/>
          <w:highlight w:val="none"/>
        </w:rPr>
      </w:pPr>
    </w:p>
    <w:p w14:paraId="4267298B">
      <w:pPr>
        <w:pStyle w:val="18"/>
        <w:ind w:firstLine="2750" w:firstLineChars="1250"/>
        <w:rPr>
          <w:rFonts w:ascii="宋体" w:hAnsi="宋体"/>
          <w:color w:val="auto"/>
          <w:sz w:val="22"/>
          <w:szCs w:val="22"/>
          <w:highlight w:val="none"/>
        </w:rPr>
      </w:pPr>
      <w:r>
        <w:rPr>
          <w:rFonts w:hint="eastAsia" w:ascii="宋体" w:hAnsi="宋体"/>
          <w:color w:val="auto"/>
          <w:sz w:val="22"/>
          <w:szCs w:val="22"/>
          <w:highlight w:val="none"/>
        </w:rPr>
        <w:t>日  期：</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年</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月</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日</w:t>
      </w:r>
    </w:p>
    <w:p w14:paraId="6DFE57C0">
      <w:pPr>
        <w:pStyle w:val="18"/>
        <w:ind w:firstLine="2280" w:firstLineChars="950"/>
        <w:rPr>
          <w:rFonts w:ascii="宋体" w:hAnsi="宋体"/>
          <w:color w:val="auto"/>
          <w:sz w:val="24"/>
          <w:szCs w:val="24"/>
          <w:highlight w:val="none"/>
        </w:rPr>
      </w:pPr>
    </w:p>
    <w:p w14:paraId="248009E9">
      <w:pPr>
        <w:pStyle w:val="18"/>
        <w:ind w:firstLine="2280" w:firstLineChars="950"/>
        <w:rPr>
          <w:rFonts w:ascii="宋体" w:hAnsi="宋体"/>
          <w:color w:val="auto"/>
          <w:sz w:val="24"/>
          <w:szCs w:val="24"/>
          <w:highlight w:val="none"/>
        </w:rPr>
      </w:pPr>
    </w:p>
    <w:p w14:paraId="58272CBE">
      <w:pPr>
        <w:pStyle w:val="18"/>
        <w:spacing w:line="560" w:lineRule="exact"/>
        <w:jc w:val="right"/>
        <w:rPr>
          <w:rFonts w:ascii="宋体" w:hAnsi="宋体"/>
          <w:bCs/>
          <w:color w:val="auto"/>
          <w:sz w:val="28"/>
          <w:szCs w:val="28"/>
          <w:highlight w:val="none"/>
        </w:rPr>
      </w:pPr>
      <w:r>
        <w:rPr>
          <w:rFonts w:hint="eastAsia" w:ascii="宋体" w:hAnsi="宋体"/>
          <w:bCs/>
          <w:color w:val="auto"/>
          <w:sz w:val="28"/>
          <w:szCs w:val="28"/>
          <w:highlight w:val="none"/>
        </w:rPr>
        <w:br w:type="page"/>
      </w:r>
    </w:p>
    <w:p w14:paraId="1BAA3FFA">
      <w:pPr>
        <w:spacing w:line="560" w:lineRule="exact"/>
        <w:jc w:val="center"/>
        <w:rPr>
          <w:rFonts w:hint="eastAsia" w:ascii="宋体" w:hAnsi="宋体"/>
          <w:b/>
          <w:color w:val="auto"/>
          <w:sz w:val="36"/>
          <w:szCs w:val="36"/>
          <w:highlight w:val="none"/>
        </w:rPr>
      </w:pPr>
    </w:p>
    <w:p w14:paraId="7B3B244C">
      <w:pPr>
        <w:spacing w:line="560" w:lineRule="exact"/>
        <w:jc w:val="center"/>
        <w:rPr>
          <w:rFonts w:ascii="宋体" w:hAnsi="宋体"/>
          <w:b/>
          <w:color w:val="auto"/>
          <w:sz w:val="32"/>
          <w:szCs w:val="32"/>
          <w:highlight w:val="none"/>
        </w:rPr>
      </w:pPr>
      <w:r>
        <w:rPr>
          <w:rFonts w:hint="eastAsia" w:ascii="宋体" w:hAnsi="宋体"/>
          <w:b/>
          <w:color w:val="auto"/>
          <w:sz w:val="36"/>
          <w:szCs w:val="36"/>
          <w:highlight w:val="none"/>
          <w:lang w:eastAsia="zh-CN"/>
        </w:rPr>
        <w:t>二、</w:t>
      </w:r>
      <w:r>
        <w:rPr>
          <w:rFonts w:hint="eastAsia" w:ascii="宋体" w:hAnsi="宋体"/>
          <w:b/>
          <w:color w:val="auto"/>
          <w:sz w:val="36"/>
          <w:szCs w:val="36"/>
          <w:highlight w:val="none"/>
        </w:rPr>
        <w:t>授权委托书</w:t>
      </w:r>
      <w:r>
        <w:rPr>
          <w:rFonts w:hint="eastAsia" w:ascii="宋体" w:hAnsi="宋体"/>
          <w:b/>
          <w:color w:val="auto"/>
          <w:sz w:val="36"/>
          <w:szCs w:val="36"/>
          <w:highlight w:val="none"/>
        </w:rPr>
        <w:cr/>
      </w:r>
    </w:p>
    <w:p w14:paraId="5BCC01A9">
      <w:pPr>
        <w:spacing w:line="560" w:lineRule="exact"/>
        <w:ind w:left="210" w:leftChars="100" w:firstLine="275" w:firstLineChars="125"/>
        <w:rPr>
          <w:rFonts w:ascii="宋体" w:hAnsi="宋体"/>
          <w:color w:val="auto"/>
          <w:sz w:val="22"/>
          <w:szCs w:val="22"/>
          <w:highlight w:val="none"/>
        </w:rPr>
      </w:pPr>
      <w:r>
        <w:rPr>
          <w:rFonts w:hint="eastAsia" w:ascii="宋体" w:hAnsi="宋体"/>
          <w:color w:val="auto"/>
          <w:sz w:val="22"/>
          <w:szCs w:val="22"/>
          <w:highlight w:val="none"/>
        </w:rPr>
        <w:t>本人</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（姓名）系</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（投标人名称）的法定代表人，现委托</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（姓名）为我方代理人。代理人根据授权，以我方名义签署、澄清、说明、补正、递交、撤回、修改</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（项目名称）投标文件、签订合同和处理有关事宜，其法律后果由我方承担。</w:t>
      </w:r>
    </w:p>
    <w:p w14:paraId="6750FAEF">
      <w:pPr>
        <w:spacing w:line="560" w:lineRule="exact"/>
        <w:ind w:firstLine="420"/>
        <w:rPr>
          <w:rFonts w:ascii="宋体" w:hAnsi="宋体"/>
          <w:color w:val="auto"/>
          <w:sz w:val="22"/>
          <w:szCs w:val="22"/>
          <w:highlight w:val="none"/>
        </w:rPr>
      </w:pPr>
    </w:p>
    <w:p w14:paraId="22C53073">
      <w:pPr>
        <w:spacing w:line="560" w:lineRule="exact"/>
        <w:ind w:firstLine="420"/>
        <w:rPr>
          <w:rFonts w:ascii="宋体" w:hAnsi="宋体"/>
          <w:color w:val="auto"/>
          <w:sz w:val="22"/>
          <w:szCs w:val="22"/>
          <w:highlight w:val="none"/>
        </w:rPr>
      </w:pPr>
    </w:p>
    <w:p w14:paraId="54136777">
      <w:pPr>
        <w:spacing w:line="560" w:lineRule="exact"/>
        <w:ind w:firstLine="495" w:firstLineChars="225"/>
        <w:rPr>
          <w:rFonts w:ascii="宋体" w:hAnsi="宋体"/>
          <w:color w:val="auto"/>
          <w:sz w:val="22"/>
          <w:szCs w:val="22"/>
          <w:highlight w:val="none"/>
        </w:rPr>
      </w:pPr>
      <w:r>
        <w:rPr>
          <w:rFonts w:hint="eastAsia" w:ascii="宋体" w:hAnsi="宋体"/>
          <w:color w:val="auto"/>
          <w:sz w:val="22"/>
          <w:szCs w:val="22"/>
          <w:highlight w:val="none"/>
        </w:rPr>
        <w:t>委托期限：</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 xml:space="preserve">。 </w:t>
      </w:r>
      <w:r>
        <w:rPr>
          <w:rFonts w:hint="eastAsia" w:ascii="宋体" w:hAnsi="宋体"/>
          <w:color w:val="auto"/>
          <w:sz w:val="22"/>
          <w:szCs w:val="22"/>
          <w:highlight w:val="none"/>
        </w:rPr>
        <w:cr/>
      </w:r>
      <w:r>
        <w:rPr>
          <w:rFonts w:hint="eastAsia" w:ascii="宋体" w:hAnsi="宋体"/>
          <w:color w:val="auto"/>
          <w:sz w:val="22"/>
          <w:szCs w:val="22"/>
          <w:highlight w:val="none"/>
        </w:rPr>
        <w:t xml:space="preserve">    代理人无转委托权。 </w:t>
      </w:r>
      <w:r>
        <w:rPr>
          <w:rFonts w:hint="eastAsia" w:ascii="宋体" w:hAnsi="宋体"/>
          <w:color w:val="auto"/>
          <w:sz w:val="22"/>
          <w:szCs w:val="22"/>
          <w:highlight w:val="none"/>
        </w:rPr>
        <w:cr/>
      </w:r>
    </w:p>
    <w:p w14:paraId="46A2BB9B">
      <w:pPr>
        <w:spacing w:line="560" w:lineRule="exact"/>
        <w:ind w:firstLine="420"/>
        <w:rPr>
          <w:rFonts w:ascii="宋体" w:hAnsi="宋体"/>
          <w:color w:val="auto"/>
          <w:sz w:val="28"/>
          <w:szCs w:val="24"/>
          <w:highlight w:val="none"/>
        </w:rPr>
      </w:pPr>
    </w:p>
    <w:p w14:paraId="10A6FB83">
      <w:pPr>
        <w:spacing w:line="560" w:lineRule="exact"/>
        <w:ind w:firstLine="420"/>
        <w:rPr>
          <w:rFonts w:ascii="宋体" w:hAnsi="宋体"/>
          <w:color w:val="auto"/>
          <w:sz w:val="28"/>
          <w:szCs w:val="24"/>
          <w:highlight w:val="none"/>
        </w:rPr>
      </w:pPr>
    </w:p>
    <w:p w14:paraId="46F95D5B">
      <w:pPr>
        <w:spacing w:line="560" w:lineRule="exact"/>
        <w:ind w:firstLine="420"/>
        <w:rPr>
          <w:rFonts w:ascii="宋体" w:hAnsi="宋体"/>
          <w:color w:val="auto"/>
          <w:sz w:val="22"/>
          <w:szCs w:val="22"/>
          <w:highlight w:val="none"/>
        </w:rPr>
      </w:pPr>
    </w:p>
    <w:p w14:paraId="6ED56F01">
      <w:pPr>
        <w:spacing w:line="560" w:lineRule="exact"/>
        <w:ind w:left="2898" w:leftChars="1380"/>
        <w:rPr>
          <w:rFonts w:ascii="宋体" w:hAnsi="宋体"/>
          <w:color w:val="auto"/>
          <w:sz w:val="22"/>
          <w:szCs w:val="22"/>
          <w:highlight w:val="none"/>
        </w:rPr>
      </w:pPr>
      <w:r>
        <w:rPr>
          <w:rFonts w:hint="eastAsia" w:ascii="宋体" w:hAnsi="宋体"/>
          <w:color w:val="auto"/>
          <w:sz w:val="22"/>
          <w:szCs w:val="22"/>
          <w:highlight w:val="none"/>
        </w:rPr>
        <w:t>投  标  人：</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（盖单位章）</w:t>
      </w:r>
      <w:r>
        <w:rPr>
          <w:rFonts w:hint="eastAsia" w:ascii="宋体" w:hAnsi="宋体"/>
          <w:color w:val="auto"/>
          <w:sz w:val="22"/>
          <w:szCs w:val="22"/>
          <w:highlight w:val="none"/>
        </w:rPr>
        <w:cr/>
      </w:r>
      <w:r>
        <w:rPr>
          <w:rFonts w:hint="eastAsia" w:ascii="宋体" w:hAnsi="宋体"/>
          <w:color w:val="auto"/>
          <w:sz w:val="22"/>
          <w:szCs w:val="22"/>
          <w:highlight w:val="none"/>
        </w:rPr>
        <w:t>法定代表人：</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（盖章或签字）</w:t>
      </w:r>
      <w:r>
        <w:rPr>
          <w:rFonts w:hint="eastAsia" w:ascii="宋体" w:hAnsi="宋体"/>
          <w:color w:val="auto"/>
          <w:sz w:val="22"/>
          <w:szCs w:val="22"/>
          <w:highlight w:val="none"/>
        </w:rPr>
        <w:cr/>
      </w:r>
      <w:r>
        <w:rPr>
          <w:rFonts w:hint="eastAsia" w:ascii="宋体" w:hAnsi="宋体"/>
          <w:color w:val="auto"/>
          <w:sz w:val="22"/>
          <w:szCs w:val="22"/>
          <w:highlight w:val="none"/>
        </w:rPr>
        <w:t>身份证号码：</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none"/>
        </w:rPr>
        <w:t xml:space="preserve">    </w:t>
      </w:r>
      <w:r>
        <w:rPr>
          <w:rFonts w:hint="eastAsia" w:ascii="宋体" w:hAnsi="宋体"/>
          <w:color w:val="auto"/>
          <w:sz w:val="22"/>
          <w:szCs w:val="22"/>
          <w:highlight w:val="none"/>
        </w:rPr>
        <w:t xml:space="preserve">              </w:t>
      </w:r>
      <w:r>
        <w:rPr>
          <w:rFonts w:hint="eastAsia" w:ascii="宋体" w:hAnsi="宋体"/>
          <w:color w:val="auto"/>
          <w:sz w:val="22"/>
          <w:szCs w:val="22"/>
          <w:highlight w:val="none"/>
        </w:rPr>
        <w:cr/>
      </w:r>
      <w:r>
        <w:rPr>
          <w:rFonts w:hint="eastAsia" w:ascii="宋体" w:hAnsi="宋体"/>
          <w:color w:val="auto"/>
          <w:sz w:val="22"/>
          <w:szCs w:val="22"/>
          <w:highlight w:val="none"/>
        </w:rPr>
        <w:t>委托代理人：</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（盖章或签字）</w:t>
      </w:r>
      <w:r>
        <w:rPr>
          <w:rFonts w:hint="eastAsia" w:ascii="宋体" w:hAnsi="宋体"/>
          <w:color w:val="auto"/>
          <w:sz w:val="22"/>
          <w:szCs w:val="22"/>
          <w:highlight w:val="none"/>
        </w:rPr>
        <w:cr/>
      </w:r>
      <w:r>
        <w:rPr>
          <w:rFonts w:hint="eastAsia" w:ascii="宋体" w:hAnsi="宋体"/>
          <w:color w:val="auto"/>
          <w:sz w:val="22"/>
          <w:szCs w:val="22"/>
          <w:highlight w:val="none"/>
        </w:rPr>
        <w:t>身份证号码：</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 xml:space="preserve">                </w:t>
      </w:r>
      <w:r>
        <w:rPr>
          <w:rFonts w:hint="eastAsia" w:ascii="宋体" w:hAnsi="宋体"/>
          <w:color w:val="auto"/>
          <w:sz w:val="22"/>
          <w:szCs w:val="22"/>
          <w:highlight w:val="none"/>
        </w:rPr>
        <w:cr/>
      </w:r>
    </w:p>
    <w:p w14:paraId="64D96C81">
      <w:pPr>
        <w:pStyle w:val="18"/>
        <w:spacing w:line="520" w:lineRule="exact"/>
        <w:jc w:val="center"/>
        <w:rPr>
          <w:rFonts w:ascii="宋体" w:hAnsi="宋体"/>
          <w:color w:val="auto"/>
          <w:sz w:val="22"/>
          <w:szCs w:val="22"/>
          <w:highlight w:val="none"/>
        </w:rPr>
      </w:pPr>
      <w:r>
        <w:rPr>
          <w:rFonts w:hint="eastAsia" w:ascii="宋体" w:hAnsi="宋体"/>
          <w:color w:val="auto"/>
          <w:sz w:val="22"/>
          <w:szCs w:val="22"/>
          <w:highlight w:val="none"/>
          <w:u w:val="none"/>
          <w:lang w:val="en-US" w:eastAsia="zh-CN"/>
        </w:rPr>
        <w:t xml:space="preserve">                  </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年</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月</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日</w:t>
      </w:r>
    </w:p>
    <w:p w14:paraId="2248A938">
      <w:pPr>
        <w:spacing w:line="500" w:lineRule="exact"/>
        <w:jc w:val="right"/>
        <w:rPr>
          <w:rFonts w:hint="eastAsia" w:ascii="宋体" w:hAnsi="宋体"/>
          <w:color w:val="auto"/>
          <w:sz w:val="28"/>
          <w:szCs w:val="28"/>
          <w:highlight w:val="none"/>
        </w:rPr>
      </w:pPr>
    </w:p>
    <w:p w14:paraId="56B7000F">
      <w:pPr>
        <w:rPr>
          <w:rFonts w:hint="eastAsia" w:ascii="宋体" w:hAnsi="宋体"/>
          <w:b/>
          <w:color w:val="auto"/>
          <w:sz w:val="36"/>
          <w:szCs w:val="36"/>
          <w:highlight w:val="none"/>
          <w:lang w:val="en-US" w:eastAsia="zh-CN"/>
        </w:rPr>
      </w:pPr>
      <w:r>
        <w:rPr>
          <w:rFonts w:hint="eastAsia" w:ascii="宋体" w:hAnsi="宋体"/>
          <w:b/>
          <w:color w:val="auto"/>
          <w:sz w:val="36"/>
          <w:szCs w:val="36"/>
          <w:highlight w:val="none"/>
          <w:lang w:val="en-US" w:eastAsia="zh-CN"/>
        </w:rPr>
        <w:br w:type="page"/>
      </w:r>
    </w:p>
    <w:p w14:paraId="027E8751">
      <w:pPr>
        <w:spacing w:line="560" w:lineRule="exact"/>
        <w:jc w:val="center"/>
        <w:rPr>
          <w:rFonts w:hint="eastAsia" w:ascii="宋体" w:hAnsi="宋体"/>
          <w:b/>
          <w:color w:val="auto"/>
          <w:sz w:val="36"/>
          <w:szCs w:val="36"/>
          <w:highlight w:val="none"/>
          <w:lang w:val="en-US" w:eastAsia="zh-CN"/>
        </w:rPr>
      </w:pPr>
    </w:p>
    <w:p w14:paraId="0D1701B3">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eastAsia" w:ascii="宋体" w:hAnsi="宋体"/>
          <w:b/>
          <w:color w:val="auto"/>
          <w:sz w:val="36"/>
          <w:szCs w:val="36"/>
          <w:highlight w:val="none"/>
        </w:rPr>
      </w:pPr>
      <w:r>
        <w:rPr>
          <w:rFonts w:hint="eastAsia" w:ascii="宋体" w:hAnsi="宋体"/>
          <w:b/>
          <w:color w:val="auto"/>
          <w:sz w:val="36"/>
          <w:szCs w:val="36"/>
          <w:highlight w:val="none"/>
          <w:lang w:val="en-US" w:eastAsia="zh-CN"/>
        </w:rPr>
        <w:t>三、承  诺  书</w:t>
      </w:r>
    </w:p>
    <w:p w14:paraId="20F48D4B">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color w:val="auto"/>
          <w:sz w:val="22"/>
          <w:szCs w:val="22"/>
          <w:highlight w:val="none"/>
        </w:rPr>
      </w:pP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lang w:val="en-US" w:eastAsia="zh-CN" w:bidi="ar"/>
        </w:rPr>
        <w:t xml:space="preserve">（招标人名称）： </w:t>
      </w:r>
    </w:p>
    <w:p w14:paraId="0C9F9DA4">
      <w:pPr>
        <w:keepNext w:val="0"/>
        <w:keepLines w:val="0"/>
        <w:pageBreakBefore w:val="0"/>
        <w:widowControl/>
        <w:suppressLineNumbers w:val="0"/>
        <w:kinsoku/>
        <w:wordWrap/>
        <w:overflowPunct/>
        <w:topLinePunct w:val="0"/>
        <w:autoSpaceDE/>
        <w:autoSpaceDN/>
        <w:bidi w:val="0"/>
        <w:adjustRightInd/>
        <w:snapToGrid/>
        <w:spacing w:line="480" w:lineRule="auto"/>
        <w:ind w:firstLine="440" w:firstLineChars="200"/>
        <w:jc w:val="left"/>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 xml:space="preserve">我方承诺，我方承诺对资格审查资料所有提交的证明材料真实有效性负责，若发现有伪造证书、业绩等行为的，同意招标人不接受我方投标。 </w:t>
      </w:r>
    </w:p>
    <w:p w14:paraId="027467C2">
      <w:pPr>
        <w:keepNext w:val="0"/>
        <w:keepLines w:val="0"/>
        <w:pageBreakBefore w:val="0"/>
        <w:widowControl/>
        <w:suppressLineNumbers w:val="0"/>
        <w:kinsoku/>
        <w:wordWrap/>
        <w:overflowPunct/>
        <w:topLinePunct w:val="0"/>
        <w:autoSpaceDE/>
        <w:autoSpaceDN/>
        <w:bidi w:val="0"/>
        <w:adjustRightInd/>
        <w:snapToGrid/>
        <w:spacing w:line="480" w:lineRule="auto"/>
        <w:ind w:firstLine="440" w:firstLineChars="200"/>
        <w:jc w:val="left"/>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我方承诺</w:t>
      </w:r>
      <w:r>
        <w:rPr>
          <w:rFonts w:hint="eastAsia" w:ascii="宋体" w:hAnsi="宋体" w:cs="宋体"/>
          <w:color w:val="auto"/>
          <w:kern w:val="0"/>
          <w:sz w:val="22"/>
          <w:szCs w:val="22"/>
          <w:highlight w:val="none"/>
          <w:lang w:val="en-US" w:eastAsia="zh-CN" w:bidi="ar"/>
        </w:rPr>
        <w:t>我单位</w:t>
      </w:r>
      <w:r>
        <w:rPr>
          <w:rFonts w:hint="eastAsia"/>
          <w:color w:val="auto"/>
          <w:sz w:val="22"/>
          <w:szCs w:val="28"/>
          <w:highlight w:val="none"/>
          <w:u w:val="single"/>
          <w:lang w:eastAsia="zh-CN"/>
        </w:rPr>
        <w:t>自</w:t>
      </w:r>
      <w:r>
        <w:rPr>
          <w:rFonts w:hint="eastAsia"/>
          <w:color w:val="auto"/>
          <w:sz w:val="22"/>
          <w:szCs w:val="28"/>
          <w:highlight w:val="none"/>
          <w:u w:val="single"/>
          <w:lang w:val="en-US" w:eastAsia="zh-CN"/>
        </w:rPr>
        <w:t>2023</w:t>
      </w:r>
      <w:r>
        <w:rPr>
          <w:rFonts w:hint="eastAsia"/>
          <w:color w:val="auto"/>
          <w:sz w:val="22"/>
          <w:szCs w:val="28"/>
          <w:highlight w:val="none"/>
          <w:u w:val="single"/>
          <w:lang w:eastAsia="zh-CN"/>
        </w:rPr>
        <w:t>年</w:t>
      </w:r>
      <w:r>
        <w:rPr>
          <w:rFonts w:hint="eastAsia"/>
          <w:color w:val="auto"/>
          <w:sz w:val="22"/>
          <w:szCs w:val="28"/>
          <w:highlight w:val="none"/>
          <w:u w:val="single"/>
          <w:lang w:val="en-US" w:eastAsia="zh-CN"/>
        </w:rPr>
        <w:t>7</w:t>
      </w:r>
      <w:r>
        <w:rPr>
          <w:rFonts w:hint="eastAsia"/>
          <w:color w:val="auto"/>
          <w:sz w:val="22"/>
          <w:szCs w:val="28"/>
          <w:highlight w:val="none"/>
          <w:u w:val="single"/>
          <w:lang w:eastAsia="zh-CN"/>
        </w:rPr>
        <w:t>月</w:t>
      </w:r>
      <w:r>
        <w:rPr>
          <w:rFonts w:hint="eastAsia"/>
          <w:color w:val="auto"/>
          <w:sz w:val="22"/>
          <w:szCs w:val="28"/>
          <w:highlight w:val="none"/>
          <w:u w:val="single"/>
          <w:lang w:val="en-US" w:eastAsia="zh-CN"/>
        </w:rPr>
        <w:t>1</w:t>
      </w:r>
      <w:r>
        <w:rPr>
          <w:rFonts w:hint="eastAsia"/>
          <w:color w:val="auto"/>
          <w:sz w:val="22"/>
          <w:szCs w:val="28"/>
          <w:highlight w:val="none"/>
          <w:u w:val="single"/>
          <w:lang w:eastAsia="zh-CN"/>
        </w:rPr>
        <w:t>日起至投标截止日止无行贿犯罪记录</w:t>
      </w:r>
      <w:r>
        <w:rPr>
          <w:rFonts w:hint="eastAsia" w:ascii="宋体" w:hAnsi="宋体" w:eastAsia="宋体" w:cs="宋体"/>
          <w:color w:val="auto"/>
          <w:kern w:val="0"/>
          <w:sz w:val="22"/>
          <w:szCs w:val="22"/>
          <w:highlight w:val="none"/>
          <w:lang w:val="en-US" w:eastAsia="zh-CN" w:bidi="ar"/>
        </w:rPr>
        <w:t>。</w:t>
      </w:r>
    </w:p>
    <w:p w14:paraId="27240EF3">
      <w:pPr>
        <w:keepNext w:val="0"/>
        <w:keepLines w:val="0"/>
        <w:pageBreakBefore w:val="0"/>
        <w:widowControl/>
        <w:suppressLineNumbers w:val="0"/>
        <w:kinsoku/>
        <w:wordWrap/>
        <w:overflowPunct/>
        <w:topLinePunct w:val="0"/>
        <w:autoSpaceDE/>
        <w:autoSpaceDN/>
        <w:bidi w:val="0"/>
        <w:adjustRightInd/>
        <w:snapToGrid/>
        <w:spacing w:line="480" w:lineRule="auto"/>
        <w:ind w:firstLine="440" w:firstLineChars="200"/>
        <w:jc w:val="left"/>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我方承诺我单位</w:t>
      </w:r>
      <w:r>
        <w:rPr>
          <w:rFonts w:hint="eastAsia" w:ascii="宋体" w:hAnsi="宋体" w:eastAsia="宋体"/>
          <w:color w:val="auto"/>
          <w:sz w:val="22"/>
          <w:szCs w:val="28"/>
          <w:highlight w:val="none"/>
          <w:u w:val="single"/>
          <w:lang w:val="en-US" w:eastAsia="zh-CN"/>
        </w:rPr>
        <w:t>未被列入建筑市场严重失信名单（以全国建筑市场监管公共服务平台黑名单记录、失信联合惩戒记录和浙江省建筑市场监管公共服务系统严重失信名单的信息为准）</w:t>
      </w:r>
    </w:p>
    <w:p w14:paraId="068B5F60">
      <w:pPr>
        <w:keepNext w:val="0"/>
        <w:keepLines w:val="0"/>
        <w:pageBreakBefore w:val="0"/>
        <w:widowControl/>
        <w:suppressLineNumbers w:val="0"/>
        <w:kinsoku/>
        <w:wordWrap/>
        <w:overflowPunct/>
        <w:topLinePunct w:val="0"/>
        <w:autoSpaceDE/>
        <w:autoSpaceDN/>
        <w:bidi w:val="0"/>
        <w:adjustRightInd/>
        <w:snapToGrid/>
        <w:spacing w:line="480" w:lineRule="auto"/>
        <w:ind w:firstLine="440" w:firstLineChars="200"/>
        <w:jc w:val="left"/>
        <w:textAlignment w:val="auto"/>
        <w:rPr>
          <w:color w:val="auto"/>
          <w:sz w:val="22"/>
          <w:szCs w:val="22"/>
          <w:highlight w:val="none"/>
        </w:rPr>
      </w:pPr>
      <w:r>
        <w:rPr>
          <w:rFonts w:hint="eastAsia" w:ascii="宋体" w:hAnsi="宋体" w:eastAsia="宋体" w:cs="宋体"/>
          <w:color w:val="auto"/>
          <w:kern w:val="0"/>
          <w:sz w:val="22"/>
          <w:szCs w:val="22"/>
          <w:highlight w:val="none"/>
          <w:lang w:val="en-US" w:eastAsia="zh-CN" w:bidi="ar"/>
        </w:rPr>
        <w:t xml:space="preserve">我方保证上述信息的真实和准确，并愿意承担因我方就此弄虚作假所引起的一切法律后果。 </w:t>
      </w:r>
    </w:p>
    <w:p w14:paraId="0AF06857">
      <w:pPr>
        <w:keepNext w:val="0"/>
        <w:keepLines w:val="0"/>
        <w:pageBreakBefore w:val="0"/>
        <w:widowControl/>
        <w:suppressLineNumbers w:val="0"/>
        <w:kinsoku/>
        <w:wordWrap/>
        <w:overflowPunct/>
        <w:topLinePunct w:val="0"/>
        <w:autoSpaceDE/>
        <w:autoSpaceDN/>
        <w:bidi w:val="0"/>
        <w:adjustRightInd/>
        <w:snapToGrid/>
        <w:spacing w:line="480" w:lineRule="auto"/>
        <w:ind w:firstLine="440" w:firstLineChars="200"/>
        <w:jc w:val="left"/>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 xml:space="preserve">特此承诺。 </w:t>
      </w:r>
    </w:p>
    <w:p w14:paraId="38B57BD6">
      <w:pPr>
        <w:pStyle w:val="5"/>
        <w:rPr>
          <w:rFonts w:hint="eastAsia" w:ascii="宋体" w:hAnsi="宋体" w:eastAsia="宋体" w:cs="宋体"/>
          <w:color w:val="auto"/>
          <w:kern w:val="0"/>
          <w:sz w:val="22"/>
          <w:szCs w:val="22"/>
          <w:highlight w:val="none"/>
          <w:lang w:val="en-US" w:eastAsia="zh-CN" w:bidi="ar"/>
        </w:rPr>
      </w:pPr>
    </w:p>
    <w:p w14:paraId="464815B7">
      <w:pPr>
        <w:pStyle w:val="5"/>
        <w:rPr>
          <w:rFonts w:hint="eastAsia" w:ascii="宋体" w:hAnsi="宋体" w:eastAsia="宋体" w:cs="宋体"/>
          <w:color w:val="auto"/>
          <w:kern w:val="0"/>
          <w:sz w:val="22"/>
          <w:szCs w:val="22"/>
          <w:highlight w:val="none"/>
          <w:lang w:val="en-US" w:eastAsia="zh-CN" w:bidi="ar"/>
        </w:rPr>
      </w:pPr>
    </w:p>
    <w:p w14:paraId="28404023">
      <w:pPr>
        <w:pStyle w:val="5"/>
        <w:rPr>
          <w:rFonts w:hint="eastAsia" w:ascii="宋体" w:hAnsi="宋体" w:eastAsia="宋体" w:cs="宋体"/>
          <w:color w:val="auto"/>
          <w:kern w:val="0"/>
          <w:sz w:val="22"/>
          <w:szCs w:val="22"/>
          <w:highlight w:val="none"/>
          <w:lang w:val="en-US" w:eastAsia="zh-CN" w:bidi="ar"/>
        </w:rPr>
      </w:pPr>
    </w:p>
    <w:p w14:paraId="4A7AC42F">
      <w:pPr>
        <w:pStyle w:val="5"/>
        <w:rPr>
          <w:rFonts w:hint="eastAsia" w:ascii="宋体" w:hAnsi="宋体" w:eastAsia="宋体" w:cs="宋体"/>
          <w:color w:val="auto"/>
          <w:kern w:val="0"/>
          <w:sz w:val="22"/>
          <w:szCs w:val="22"/>
          <w:highlight w:val="none"/>
          <w:lang w:val="en-US" w:eastAsia="zh-CN" w:bidi="ar"/>
        </w:rPr>
      </w:pPr>
    </w:p>
    <w:p w14:paraId="1F0507CD">
      <w:pPr>
        <w:pStyle w:val="5"/>
        <w:rPr>
          <w:rFonts w:hint="eastAsia" w:ascii="宋体" w:hAnsi="宋体" w:eastAsia="宋体" w:cs="宋体"/>
          <w:color w:val="auto"/>
          <w:kern w:val="0"/>
          <w:sz w:val="22"/>
          <w:szCs w:val="22"/>
          <w:highlight w:val="none"/>
          <w:lang w:val="en-US" w:eastAsia="zh-CN" w:bidi="ar"/>
        </w:rPr>
      </w:pPr>
    </w:p>
    <w:p w14:paraId="7B738EAF">
      <w:pPr>
        <w:keepNext w:val="0"/>
        <w:keepLines w:val="0"/>
        <w:pageBreakBefore w:val="0"/>
        <w:widowControl/>
        <w:suppressLineNumbers w:val="0"/>
        <w:kinsoku/>
        <w:wordWrap/>
        <w:overflowPunct/>
        <w:topLinePunct w:val="0"/>
        <w:autoSpaceDE/>
        <w:autoSpaceDN/>
        <w:bidi w:val="0"/>
        <w:adjustRightInd/>
        <w:snapToGrid/>
        <w:spacing w:line="480" w:lineRule="auto"/>
        <w:ind w:firstLine="3520" w:firstLineChars="1600"/>
        <w:jc w:val="left"/>
        <w:textAlignment w:val="auto"/>
        <w:rPr>
          <w:color w:val="auto"/>
          <w:sz w:val="22"/>
          <w:szCs w:val="22"/>
          <w:highlight w:val="none"/>
        </w:rPr>
      </w:pPr>
      <w:r>
        <w:rPr>
          <w:rFonts w:hint="eastAsia" w:ascii="宋体" w:hAnsi="宋体" w:eastAsia="宋体" w:cs="宋体"/>
          <w:color w:val="auto"/>
          <w:kern w:val="0"/>
          <w:sz w:val="22"/>
          <w:szCs w:val="22"/>
          <w:highlight w:val="none"/>
          <w:lang w:val="en-US" w:eastAsia="zh-CN" w:bidi="ar"/>
        </w:rPr>
        <w:t>投标人：</w:t>
      </w: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lang w:val="en-US" w:eastAsia="zh-CN" w:bidi="ar"/>
        </w:rPr>
        <w:t xml:space="preserve">（盖投标人公章） </w:t>
      </w:r>
    </w:p>
    <w:p w14:paraId="5073F845">
      <w:pPr>
        <w:keepNext w:val="0"/>
        <w:keepLines w:val="0"/>
        <w:pageBreakBefore w:val="0"/>
        <w:widowControl/>
        <w:suppressLineNumbers w:val="0"/>
        <w:kinsoku/>
        <w:wordWrap/>
        <w:overflowPunct/>
        <w:topLinePunct w:val="0"/>
        <w:autoSpaceDE/>
        <w:autoSpaceDN/>
        <w:bidi w:val="0"/>
        <w:adjustRightInd/>
        <w:snapToGrid/>
        <w:spacing w:line="480" w:lineRule="auto"/>
        <w:ind w:firstLine="3520" w:firstLineChars="1600"/>
        <w:jc w:val="left"/>
        <w:textAlignment w:val="auto"/>
        <w:rPr>
          <w:color w:val="auto"/>
          <w:sz w:val="22"/>
          <w:szCs w:val="22"/>
          <w:highlight w:val="none"/>
        </w:rPr>
      </w:pPr>
      <w:r>
        <w:rPr>
          <w:rFonts w:hint="eastAsia" w:ascii="宋体" w:hAnsi="宋体" w:eastAsia="宋体" w:cs="宋体"/>
          <w:color w:val="auto"/>
          <w:kern w:val="0"/>
          <w:sz w:val="22"/>
          <w:szCs w:val="22"/>
          <w:highlight w:val="none"/>
          <w:lang w:val="en-US" w:eastAsia="zh-CN" w:bidi="ar"/>
        </w:rPr>
        <w:t>法定代表人或其委托代理人：</w:t>
      </w: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lang w:val="en-US" w:eastAsia="zh-CN" w:bidi="ar"/>
        </w:rPr>
        <w:t xml:space="preserve">（签字或盖章） </w:t>
      </w:r>
    </w:p>
    <w:p w14:paraId="31B4058C">
      <w:pPr>
        <w:keepNext w:val="0"/>
        <w:keepLines w:val="0"/>
        <w:pageBreakBefore w:val="0"/>
        <w:widowControl/>
        <w:suppressLineNumbers w:val="0"/>
        <w:kinsoku/>
        <w:wordWrap/>
        <w:overflowPunct/>
        <w:topLinePunct w:val="0"/>
        <w:autoSpaceDE/>
        <w:autoSpaceDN/>
        <w:bidi w:val="0"/>
        <w:adjustRightInd/>
        <w:snapToGrid/>
        <w:spacing w:line="400" w:lineRule="exact"/>
        <w:ind w:firstLine="5500" w:firstLineChars="250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lang w:val="en-US" w:eastAsia="zh-CN" w:bidi="ar"/>
        </w:rPr>
        <w:t>年</w:t>
      </w: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lang w:val="en-US" w:eastAsia="zh-CN" w:bidi="ar"/>
        </w:rPr>
        <w:t>月</w:t>
      </w: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lang w:val="en-US" w:eastAsia="zh-CN" w:bidi="ar"/>
        </w:rPr>
        <w:t>日</w:t>
      </w:r>
      <w:r>
        <w:rPr>
          <w:rFonts w:hint="eastAsia" w:ascii="宋体" w:hAnsi="宋体" w:eastAsia="宋体" w:cs="宋体"/>
          <w:color w:val="auto"/>
          <w:kern w:val="0"/>
          <w:sz w:val="21"/>
          <w:szCs w:val="21"/>
          <w:highlight w:val="none"/>
          <w:lang w:val="en-US" w:eastAsia="zh-CN" w:bidi="ar"/>
        </w:rPr>
        <w:t xml:space="preserve"> </w:t>
      </w:r>
    </w:p>
    <w:p w14:paraId="11596A28">
      <w:pPr>
        <w:pStyle w:val="5"/>
        <w:rPr>
          <w:color w:val="auto"/>
          <w:sz w:val="21"/>
          <w:szCs w:val="21"/>
          <w:highlight w:val="none"/>
        </w:rPr>
      </w:pPr>
    </w:p>
    <w:p w14:paraId="222B204E">
      <w:pPr>
        <w:pStyle w:val="5"/>
        <w:rPr>
          <w:color w:val="auto"/>
          <w:highlight w:val="none"/>
        </w:rPr>
      </w:pPr>
    </w:p>
    <w:p w14:paraId="56654F70">
      <w:pPr>
        <w:pStyle w:val="5"/>
        <w:rPr>
          <w:color w:val="auto"/>
          <w:highlight w:val="none"/>
        </w:rPr>
      </w:pPr>
    </w:p>
    <w:p w14:paraId="74CF253D">
      <w:pPr>
        <w:pStyle w:val="5"/>
        <w:rPr>
          <w:color w:val="auto"/>
          <w:highlight w:val="none"/>
        </w:rPr>
      </w:pPr>
    </w:p>
    <w:p w14:paraId="38DE1C91">
      <w:pPr>
        <w:pStyle w:val="5"/>
        <w:rPr>
          <w:color w:val="auto"/>
          <w:highlight w:val="none"/>
        </w:rPr>
      </w:pPr>
    </w:p>
    <w:p w14:paraId="1502CB9B">
      <w:pPr>
        <w:pStyle w:val="5"/>
        <w:rPr>
          <w:color w:val="auto"/>
          <w:highlight w:val="none"/>
        </w:rPr>
      </w:pPr>
    </w:p>
    <w:p w14:paraId="2F7CD0CA">
      <w:pPr>
        <w:pStyle w:val="5"/>
        <w:rPr>
          <w:color w:val="auto"/>
          <w:highlight w:val="none"/>
        </w:rPr>
      </w:pPr>
    </w:p>
    <w:p w14:paraId="1B3279F5">
      <w:pPr>
        <w:pStyle w:val="5"/>
        <w:rPr>
          <w:color w:val="auto"/>
          <w:highlight w:val="none"/>
        </w:rPr>
      </w:pPr>
    </w:p>
    <w:p w14:paraId="26FD67FB">
      <w:pPr>
        <w:pStyle w:val="5"/>
        <w:rPr>
          <w:color w:val="auto"/>
          <w:highlight w:val="none"/>
        </w:rPr>
      </w:pPr>
    </w:p>
    <w:p w14:paraId="18642536">
      <w:pPr>
        <w:pStyle w:val="5"/>
        <w:rPr>
          <w:color w:val="auto"/>
          <w:highlight w:val="none"/>
        </w:rPr>
      </w:pPr>
    </w:p>
    <w:p w14:paraId="486DA0F6">
      <w:pPr>
        <w:pStyle w:val="5"/>
        <w:rPr>
          <w:color w:val="auto"/>
          <w:highlight w:val="none"/>
        </w:rPr>
      </w:pPr>
    </w:p>
    <w:p w14:paraId="5902664A">
      <w:pPr>
        <w:pStyle w:val="5"/>
        <w:rPr>
          <w:color w:val="auto"/>
          <w:highlight w:val="none"/>
        </w:rPr>
      </w:pPr>
    </w:p>
    <w:p w14:paraId="7CAE7BD4">
      <w:pPr>
        <w:pStyle w:val="5"/>
        <w:rPr>
          <w:color w:val="auto"/>
          <w:highlight w:val="none"/>
        </w:rPr>
      </w:pPr>
    </w:p>
    <w:p w14:paraId="5A847D8D">
      <w:pPr>
        <w:rPr>
          <w:color w:val="auto"/>
          <w:highlight w:val="none"/>
        </w:rPr>
      </w:pPr>
      <w:r>
        <w:rPr>
          <w:color w:val="auto"/>
          <w:highlight w:val="none"/>
        </w:rPr>
        <w:br w:type="page"/>
      </w:r>
    </w:p>
    <w:p w14:paraId="42C359DC">
      <w:pPr>
        <w:jc w:val="center"/>
        <w:rPr>
          <w:rFonts w:hint="default" w:ascii="Times New Roman" w:hAnsi="Times New Roman" w:cs="Times New Roman"/>
          <w:color w:val="auto"/>
          <w:sz w:val="28"/>
          <w:szCs w:val="24"/>
          <w:highlight w:val="none"/>
        </w:rPr>
      </w:pPr>
      <w:r>
        <w:rPr>
          <w:rFonts w:hint="default" w:ascii="Times New Roman" w:hAnsi="Times New Roman" w:cs="Times New Roman"/>
          <w:color w:val="auto"/>
          <w:sz w:val="28"/>
          <w:szCs w:val="24"/>
          <w:highlight w:val="none"/>
          <w:u w:val="single"/>
        </w:rPr>
        <w:t xml:space="preserve">                    </w:t>
      </w:r>
      <w:r>
        <w:rPr>
          <w:rFonts w:hint="default" w:ascii="Times New Roman" w:hAnsi="Times New Roman" w:cs="Times New Roman"/>
          <w:color w:val="auto"/>
          <w:sz w:val="28"/>
          <w:szCs w:val="24"/>
          <w:highlight w:val="none"/>
        </w:rPr>
        <w:t>（项目名称）招标</w:t>
      </w:r>
    </w:p>
    <w:p w14:paraId="6B5E0596">
      <w:pPr>
        <w:jc w:val="center"/>
        <w:rPr>
          <w:rFonts w:hint="default" w:ascii="Times New Roman" w:hAnsi="Times New Roman" w:cs="Times New Roman"/>
          <w:color w:val="auto"/>
          <w:sz w:val="24"/>
          <w:szCs w:val="24"/>
          <w:highlight w:val="none"/>
        </w:rPr>
      </w:pPr>
    </w:p>
    <w:p w14:paraId="282EDD31">
      <w:pPr>
        <w:jc w:val="center"/>
        <w:rPr>
          <w:rFonts w:hint="default" w:ascii="Times New Roman" w:hAnsi="Times New Roman" w:cs="Times New Roman"/>
          <w:color w:val="auto"/>
          <w:sz w:val="24"/>
          <w:szCs w:val="24"/>
          <w:highlight w:val="none"/>
        </w:rPr>
      </w:pPr>
    </w:p>
    <w:p w14:paraId="3318BDAA">
      <w:pPr>
        <w:jc w:val="center"/>
        <w:rPr>
          <w:rFonts w:hint="default" w:ascii="Times New Roman" w:hAnsi="Times New Roman" w:cs="Times New Roman"/>
          <w:color w:val="auto"/>
          <w:sz w:val="24"/>
          <w:szCs w:val="24"/>
          <w:highlight w:val="none"/>
        </w:rPr>
      </w:pPr>
    </w:p>
    <w:p w14:paraId="1EA8D7FE">
      <w:pPr>
        <w:jc w:val="center"/>
        <w:rPr>
          <w:rFonts w:hint="default" w:ascii="Times New Roman" w:hAnsi="Times New Roman" w:cs="Times New Roman"/>
          <w:color w:val="auto"/>
          <w:sz w:val="24"/>
          <w:szCs w:val="24"/>
          <w:highlight w:val="none"/>
        </w:rPr>
      </w:pPr>
    </w:p>
    <w:p w14:paraId="69BEA1A1">
      <w:pPr>
        <w:jc w:val="center"/>
        <w:rPr>
          <w:rFonts w:hint="default" w:ascii="Times New Roman" w:hAnsi="Times New Roman" w:cs="Times New Roman"/>
          <w:color w:val="auto"/>
          <w:sz w:val="24"/>
          <w:szCs w:val="24"/>
          <w:highlight w:val="none"/>
        </w:rPr>
      </w:pPr>
    </w:p>
    <w:p w14:paraId="51775020">
      <w:pPr>
        <w:jc w:val="center"/>
        <w:rPr>
          <w:rFonts w:hint="default" w:ascii="Times New Roman" w:hAnsi="Times New Roman" w:cs="Times New Roman"/>
          <w:color w:val="auto"/>
          <w:sz w:val="24"/>
          <w:szCs w:val="24"/>
          <w:highlight w:val="none"/>
        </w:rPr>
      </w:pPr>
    </w:p>
    <w:p w14:paraId="0B43ACA4">
      <w:pPr>
        <w:jc w:val="center"/>
        <w:rPr>
          <w:rFonts w:hint="default" w:ascii="Times New Roman" w:hAnsi="Times New Roman" w:cs="Times New Roman"/>
          <w:color w:val="auto"/>
          <w:sz w:val="24"/>
          <w:szCs w:val="24"/>
          <w:highlight w:val="none"/>
        </w:rPr>
      </w:pPr>
    </w:p>
    <w:p w14:paraId="45C8286F">
      <w:pPr>
        <w:jc w:val="center"/>
        <w:rPr>
          <w:rFonts w:hint="default" w:ascii="Times New Roman" w:hAnsi="Times New Roman" w:cs="Times New Roman"/>
          <w:color w:val="auto"/>
          <w:sz w:val="24"/>
          <w:szCs w:val="24"/>
          <w:highlight w:val="none"/>
        </w:rPr>
      </w:pPr>
    </w:p>
    <w:p w14:paraId="688E96EF">
      <w:pPr>
        <w:spacing w:before="240" w:beforeLines="100"/>
        <w:jc w:val="center"/>
        <w:rPr>
          <w:rFonts w:hint="default" w:ascii="Times New Roman" w:hAnsi="Times New Roman" w:cs="Times New Roman"/>
          <w:color w:val="auto"/>
          <w:sz w:val="36"/>
          <w:szCs w:val="24"/>
          <w:highlight w:val="none"/>
        </w:rPr>
      </w:pPr>
      <w:r>
        <w:rPr>
          <w:rFonts w:hint="default" w:ascii="Times New Roman" w:hAnsi="Times New Roman" w:cs="Times New Roman"/>
          <w:color w:val="auto"/>
          <w:sz w:val="36"/>
          <w:szCs w:val="24"/>
          <w:highlight w:val="none"/>
        </w:rPr>
        <w:t>投  标  文  件</w:t>
      </w:r>
    </w:p>
    <w:p w14:paraId="6631F98C">
      <w:pPr>
        <w:jc w:val="center"/>
        <w:rPr>
          <w:rFonts w:hint="default" w:ascii="Times New Roman" w:hAnsi="Times New Roman" w:cs="Times New Roman"/>
          <w:color w:val="auto"/>
          <w:sz w:val="36"/>
          <w:szCs w:val="24"/>
          <w:highlight w:val="none"/>
        </w:rPr>
      </w:pPr>
    </w:p>
    <w:p w14:paraId="5EC318FA">
      <w:pPr>
        <w:jc w:val="center"/>
        <w:rPr>
          <w:rFonts w:hint="default" w:ascii="Times New Roman" w:hAnsi="Times New Roman" w:cs="Times New Roman"/>
          <w:color w:val="auto"/>
          <w:sz w:val="36"/>
          <w:szCs w:val="24"/>
          <w:highlight w:val="none"/>
        </w:rPr>
      </w:pPr>
      <w:r>
        <w:rPr>
          <w:rFonts w:hint="default" w:ascii="Times New Roman" w:hAnsi="Times New Roman" w:cs="Times New Roman"/>
          <w:color w:val="auto"/>
          <w:sz w:val="36"/>
          <w:szCs w:val="24"/>
          <w:highlight w:val="none"/>
        </w:rPr>
        <w:t>（</w:t>
      </w:r>
      <w:r>
        <w:rPr>
          <w:rFonts w:hint="eastAsia" w:ascii="Times New Roman" w:hAnsi="Times New Roman" w:cs="Times New Roman"/>
          <w:color w:val="auto"/>
          <w:sz w:val="36"/>
          <w:szCs w:val="24"/>
          <w:highlight w:val="none"/>
          <w:lang w:eastAsia="zh-CN"/>
        </w:rPr>
        <w:t>技术</w:t>
      </w:r>
      <w:r>
        <w:rPr>
          <w:rFonts w:hint="default" w:ascii="Times New Roman" w:hAnsi="Times New Roman" w:cs="Times New Roman"/>
          <w:color w:val="auto"/>
          <w:sz w:val="36"/>
          <w:szCs w:val="24"/>
          <w:highlight w:val="none"/>
        </w:rPr>
        <w:t>标）</w:t>
      </w:r>
    </w:p>
    <w:p w14:paraId="3170FFD4">
      <w:pPr>
        <w:jc w:val="center"/>
        <w:rPr>
          <w:rFonts w:hint="default" w:ascii="Times New Roman" w:hAnsi="Times New Roman" w:cs="Times New Roman"/>
          <w:color w:val="auto"/>
          <w:sz w:val="24"/>
          <w:szCs w:val="24"/>
          <w:highlight w:val="none"/>
        </w:rPr>
      </w:pPr>
    </w:p>
    <w:p w14:paraId="3836F418">
      <w:pPr>
        <w:jc w:val="center"/>
        <w:rPr>
          <w:rFonts w:hint="default" w:ascii="Times New Roman" w:hAnsi="Times New Roman" w:cs="Times New Roman"/>
          <w:color w:val="auto"/>
          <w:sz w:val="24"/>
          <w:szCs w:val="24"/>
          <w:highlight w:val="none"/>
        </w:rPr>
      </w:pPr>
    </w:p>
    <w:p w14:paraId="5ADB485B">
      <w:pPr>
        <w:jc w:val="center"/>
        <w:rPr>
          <w:rFonts w:hint="default" w:ascii="Times New Roman" w:hAnsi="Times New Roman" w:cs="Times New Roman"/>
          <w:color w:val="auto"/>
          <w:sz w:val="24"/>
          <w:szCs w:val="24"/>
          <w:highlight w:val="none"/>
        </w:rPr>
      </w:pPr>
    </w:p>
    <w:p w14:paraId="7628E24E">
      <w:pPr>
        <w:jc w:val="center"/>
        <w:rPr>
          <w:rFonts w:hint="default" w:ascii="Times New Roman" w:hAnsi="Times New Roman" w:cs="Times New Roman"/>
          <w:color w:val="auto"/>
          <w:sz w:val="24"/>
          <w:szCs w:val="24"/>
          <w:highlight w:val="none"/>
        </w:rPr>
      </w:pPr>
    </w:p>
    <w:p w14:paraId="3FD4045B">
      <w:pPr>
        <w:jc w:val="center"/>
        <w:rPr>
          <w:rFonts w:hint="default" w:ascii="Times New Roman" w:hAnsi="Times New Roman" w:cs="Times New Roman"/>
          <w:color w:val="auto"/>
          <w:sz w:val="24"/>
          <w:szCs w:val="24"/>
          <w:highlight w:val="none"/>
        </w:rPr>
      </w:pPr>
    </w:p>
    <w:p w14:paraId="178A8462">
      <w:pPr>
        <w:jc w:val="center"/>
        <w:rPr>
          <w:rFonts w:hint="default" w:ascii="Times New Roman" w:hAnsi="Times New Roman" w:cs="Times New Roman"/>
          <w:color w:val="auto"/>
          <w:sz w:val="24"/>
          <w:szCs w:val="24"/>
          <w:highlight w:val="none"/>
        </w:rPr>
      </w:pPr>
    </w:p>
    <w:p w14:paraId="11632694">
      <w:pPr>
        <w:jc w:val="center"/>
        <w:rPr>
          <w:rFonts w:hint="default" w:ascii="Times New Roman" w:hAnsi="Times New Roman" w:cs="Times New Roman"/>
          <w:color w:val="auto"/>
          <w:sz w:val="24"/>
          <w:szCs w:val="24"/>
          <w:highlight w:val="none"/>
        </w:rPr>
      </w:pPr>
    </w:p>
    <w:p w14:paraId="5EB46F91">
      <w:pPr>
        <w:jc w:val="center"/>
        <w:rPr>
          <w:rFonts w:hint="default" w:ascii="Times New Roman" w:hAnsi="Times New Roman" w:cs="Times New Roman"/>
          <w:color w:val="auto"/>
          <w:sz w:val="24"/>
          <w:szCs w:val="24"/>
          <w:highlight w:val="none"/>
        </w:rPr>
      </w:pPr>
    </w:p>
    <w:p w14:paraId="3189DC06">
      <w:pPr>
        <w:jc w:val="center"/>
        <w:rPr>
          <w:rFonts w:hint="default" w:ascii="Times New Roman" w:hAnsi="Times New Roman" w:cs="Times New Roman"/>
          <w:color w:val="auto"/>
          <w:sz w:val="24"/>
          <w:szCs w:val="24"/>
          <w:highlight w:val="none"/>
        </w:rPr>
      </w:pPr>
    </w:p>
    <w:p w14:paraId="7B817827">
      <w:pPr>
        <w:jc w:val="center"/>
        <w:rPr>
          <w:rFonts w:hint="default" w:ascii="Times New Roman" w:hAnsi="Times New Roman" w:cs="Times New Roman"/>
          <w:color w:val="auto"/>
          <w:sz w:val="24"/>
          <w:szCs w:val="24"/>
          <w:highlight w:val="none"/>
        </w:rPr>
      </w:pPr>
    </w:p>
    <w:p w14:paraId="7E8E38A8">
      <w:pPr>
        <w:jc w:val="center"/>
        <w:rPr>
          <w:rFonts w:hint="default" w:ascii="Times New Roman" w:hAnsi="Times New Roman" w:cs="Times New Roman"/>
          <w:color w:val="auto"/>
          <w:sz w:val="24"/>
          <w:szCs w:val="24"/>
          <w:highlight w:val="none"/>
        </w:rPr>
      </w:pPr>
    </w:p>
    <w:p w14:paraId="2F8650A6">
      <w:pPr>
        <w:jc w:val="center"/>
        <w:rPr>
          <w:rFonts w:hint="default" w:ascii="Times New Roman" w:hAnsi="Times New Roman" w:cs="Times New Roman"/>
          <w:color w:val="auto"/>
          <w:sz w:val="24"/>
          <w:szCs w:val="24"/>
          <w:highlight w:val="none"/>
        </w:rPr>
      </w:pPr>
    </w:p>
    <w:p w14:paraId="48E18F16">
      <w:pPr>
        <w:spacing w:line="360" w:lineRule="auto"/>
        <w:jc w:val="center"/>
        <w:rPr>
          <w:rFonts w:hint="default" w:ascii="Times New Roman" w:hAnsi="Times New Roman" w:cs="Times New Roman"/>
          <w:color w:val="auto"/>
          <w:sz w:val="28"/>
          <w:szCs w:val="24"/>
          <w:highlight w:val="none"/>
        </w:rPr>
      </w:pPr>
      <w:r>
        <w:rPr>
          <w:rFonts w:hint="default" w:ascii="Times New Roman" w:hAnsi="Times New Roman" w:cs="Times New Roman"/>
          <w:color w:val="auto"/>
          <w:sz w:val="28"/>
          <w:szCs w:val="24"/>
          <w:highlight w:val="none"/>
        </w:rPr>
        <w:t>投标人：</w:t>
      </w:r>
      <w:r>
        <w:rPr>
          <w:rFonts w:hint="default" w:ascii="Times New Roman" w:hAnsi="Times New Roman" w:cs="Times New Roman"/>
          <w:color w:val="auto"/>
          <w:sz w:val="28"/>
          <w:szCs w:val="24"/>
          <w:highlight w:val="none"/>
          <w:u w:val="single"/>
        </w:rPr>
        <w:t xml:space="preserve">                               </w:t>
      </w:r>
      <w:r>
        <w:rPr>
          <w:rFonts w:hint="default" w:ascii="Times New Roman" w:hAnsi="Times New Roman" w:cs="Times New Roman"/>
          <w:color w:val="auto"/>
          <w:sz w:val="28"/>
          <w:szCs w:val="24"/>
          <w:highlight w:val="none"/>
        </w:rPr>
        <w:t>（盖单位章）</w:t>
      </w:r>
    </w:p>
    <w:p w14:paraId="560315E6">
      <w:pPr>
        <w:spacing w:line="360" w:lineRule="auto"/>
        <w:jc w:val="center"/>
        <w:rPr>
          <w:rFonts w:hint="default" w:ascii="Times New Roman" w:hAnsi="Times New Roman" w:cs="Times New Roman"/>
          <w:color w:val="auto"/>
          <w:sz w:val="28"/>
          <w:szCs w:val="24"/>
          <w:highlight w:val="none"/>
        </w:rPr>
      </w:pPr>
      <w:r>
        <w:rPr>
          <w:rFonts w:hint="default" w:ascii="Times New Roman" w:hAnsi="Times New Roman" w:cs="Times New Roman"/>
          <w:color w:val="auto"/>
          <w:sz w:val="28"/>
          <w:szCs w:val="24"/>
          <w:highlight w:val="none"/>
        </w:rPr>
        <w:t>法定代表人：</w:t>
      </w:r>
      <w:r>
        <w:rPr>
          <w:rFonts w:hint="default" w:ascii="Times New Roman" w:hAnsi="Times New Roman" w:cs="Times New Roman"/>
          <w:color w:val="auto"/>
          <w:sz w:val="28"/>
          <w:szCs w:val="24"/>
          <w:highlight w:val="none"/>
          <w:u w:val="single"/>
        </w:rPr>
        <w:t xml:space="preserve">                         </w:t>
      </w:r>
      <w:r>
        <w:rPr>
          <w:rFonts w:hint="default" w:ascii="Times New Roman" w:hAnsi="Times New Roman" w:cs="Times New Roman"/>
          <w:color w:val="auto"/>
          <w:sz w:val="28"/>
          <w:szCs w:val="24"/>
          <w:highlight w:val="none"/>
        </w:rPr>
        <w:t>（签字或盖章）</w:t>
      </w:r>
    </w:p>
    <w:p w14:paraId="1DE30CA9">
      <w:pPr>
        <w:jc w:val="center"/>
        <w:rPr>
          <w:rFonts w:hint="default" w:ascii="Times New Roman" w:hAnsi="Times New Roman" w:cs="Times New Roman"/>
          <w:color w:val="auto"/>
          <w:sz w:val="28"/>
          <w:szCs w:val="24"/>
          <w:highlight w:val="none"/>
        </w:rPr>
      </w:pPr>
      <w:r>
        <w:rPr>
          <w:rFonts w:hint="default" w:ascii="Times New Roman" w:hAnsi="Times New Roman" w:cs="Times New Roman"/>
          <w:color w:val="auto"/>
          <w:sz w:val="28"/>
          <w:szCs w:val="24"/>
          <w:highlight w:val="none"/>
          <w:u w:val="single"/>
        </w:rPr>
        <w:t xml:space="preserve">         </w:t>
      </w:r>
      <w:r>
        <w:rPr>
          <w:rFonts w:hint="default" w:ascii="Times New Roman" w:hAnsi="Times New Roman" w:cs="Times New Roman"/>
          <w:color w:val="auto"/>
          <w:sz w:val="28"/>
          <w:szCs w:val="24"/>
          <w:highlight w:val="none"/>
        </w:rPr>
        <w:t>年</w:t>
      </w:r>
      <w:r>
        <w:rPr>
          <w:rFonts w:hint="default" w:ascii="Times New Roman" w:hAnsi="Times New Roman" w:cs="Times New Roman"/>
          <w:color w:val="auto"/>
          <w:sz w:val="28"/>
          <w:szCs w:val="24"/>
          <w:highlight w:val="none"/>
          <w:u w:val="single"/>
        </w:rPr>
        <w:t xml:space="preserve">         </w:t>
      </w:r>
      <w:r>
        <w:rPr>
          <w:rFonts w:hint="default" w:ascii="Times New Roman" w:hAnsi="Times New Roman" w:cs="Times New Roman"/>
          <w:color w:val="auto"/>
          <w:sz w:val="28"/>
          <w:szCs w:val="24"/>
          <w:highlight w:val="none"/>
        </w:rPr>
        <w:t>月</w:t>
      </w:r>
      <w:r>
        <w:rPr>
          <w:rFonts w:hint="default" w:ascii="Times New Roman" w:hAnsi="Times New Roman" w:cs="Times New Roman"/>
          <w:color w:val="auto"/>
          <w:sz w:val="28"/>
          <w:szCs w:val="24"/>
          <w:highlight w:val="none"/>
          <w:u w:val="single"/>
        </w:rPr>
        <w:t xml:space="preserve">         </w:t>
      </w:r>
      <w:r>
        <w:rPr>
          <w:rFonts w:hint="default" w:ascii="Times New Roman" w:hAnsi="Times New Roman" w:cs="Times New Roman"/>
          <w:color w:val="auto"/>
          <w:sz w:val="28"/>
          <w:szCs w:val="24"/>
          <w:highlight w:val="none"/>
        </w:rPr>
        <w:t>日</w:t>
      </w:r>
    </w:p>
    <w:p w14:paraId="05DA14F6">
      <w:pPr>
        <w:rPr>
          <w:rFonts w:hint="default" w:ascii="Times New Roman" w:hAnsi="Times New Roman" w:cs="Times New Roman"/>
          <w:color w:val="auto"/>
          <w:sz w:val="24"/>
          <w:szCs w:val="24"/>
          <w:highlight w:val="none"/>
        </w:rPr>
      </w:pPr>
    </w:p>
    <w:p w14:paraId="478A19BB">
      <w:pPr>
        <w:keepNext w:val="0"/>
        <w:keepLines w:val="0"/>
        <w:pageBreakBefore w:val="0"/>
        <w:widowControl w:val="0"/>
        <w:kinsoku/>
        <w:wordWrap/>
        <w:overflowPunct/>
        <w:topLinePunct w:val="0"/>
        <w:autoSpaceDE/>
        <w:autoSpaceDN/>
        <w:bidi w:val="0"/>
        <w:adjustRightInd w:val="0"/>
        <w:snapToGrid/>
        <w:spacing w:line="400" w:lineRule="exact"/>
        <w:ind w:firstLine="602" w:firstLineChars="200"/>
        <w:textAlignment w:val="auto"/>
        <w:rPr>
          <w:rFonts w:hint="eastAsia" w:ascii="宋体" w:hAnsi="宋体" w:eastAsia="宋体" w:cs="宋体"/>
          <w:color w:val="auto"/>
          <w:sz w:val="22"/>
          <w:szCs w:val="22"/>
          <w:highlight w:val="none"/>
          <w:lang w:val="en-US" w:eastAsia="zh-CN"/>
        </w:rPr>
      </w:pPr>
      <w:r>
        <w:rPr>
          <w:rFonts w:hint="default" w:ascii="Times New Roman" w:hAnsi="Times New Roman" w:cs="Times New Roman"/>
          <w:b/>
          <w:color w:val="auto"/>
          <w:sz w:val="30"/>
          <w:highlight w:val="none"/>
        </w:rPr>
        <w:br w:type="page"/>
      </w:r>
      <w:r>
        <w:rPr>
          <w:rFonts w:hint="eastAsia" w:ascii="宋体" w:hAnsi="宋体" w:eastAsia="宋体" w:cs="宋体"/>
          <w:color w:val="auto"/>
          <w:sz w:val="22"/>
          <w:szCs w:val="22"/>
          <w:highlight w:val="none"/>
          <w:lang w:val="en-US" w:eastAsia="zh-CN"/>
        </w:rPr>
        <w:t>1、本项目质保期不少于36个月（从通信发展办（或通建办）出具的《准予接入公网通知书》之日起开始计）（投标文件中提供供应商盖章承诺，格式自拟）。</w:t>
      </w:r>
    </w:p>
    <w:p w14:paraId="794ADD3C">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宋体" w:hAnsi="宋体" w:cs="宋体"/>
          <w:color w:val="auto"/>
          <w:sz w:val="22"/>
          <w:szCs w:val="22"/>
          <w:highlight w:val="none"/>
          <w:lang w:val="en-US" w:eastAsia="zh-CN"/>
        </w:rPr>
      </w:pPr>
    </w:p>
    <w:p w14:paraId="1AD5FE40">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default" w:ascii="Times New Roman" w:hAnsi="Times New Roman" w:cs="Times New Roman"/>
          <w:b/>
          <w:color w:val="auto"/>
          <w:sz w:val="22"/>
          <w:szCs w:val="22"/>
          <w:highlight w:val="none"/>
        </w:rPr>
      </w:pPr>
      <w:r>
        <w:rPr>
          <w:rFonts w:hint="eastAsia" w:ascii="宋体" w:hAnsi="宋体" w:cs="宋体"/>
          <w:color w:val="auto"/>
          <w:sz w:val="22"/>
          <w:szCs w:val="22"/>
          <w:highlight w:val="none"/>
          <w:lang w:val="en-US" w:eastAsia="zh-CN"/>
        </w:rPr>
        <w:t>2、</w:t>
      </w:r>
      <w:r>
        <w:rPr>
          <w:rFonts w:hint="eastAsia" w:ascii="宋体" w:hAnsi="宋体" w:eastAsia="宋体" w:cs="宋体"/>
          <w:color w:val="auto"/>
          <w:sz w:val="22"/>
          <w:szCs w:val="22"/>
          <w:highlight w:val="none"/>
        </w:rPr>
        <w:t>根据技术标评分细化标准自行编制（格式自拟）</w:t>
      </w:r>
    </w:p>
    <w:p w14:paraId="48C72D9D">
      <w:pPr>
        <w:jc w:val="center"/>
        <w:rPr>
          <w:rFonts w:ascii="宋体"/>
          <w:color w:val="auto"/>
          <w:sz w:val="28"/>
          <w:highlight w:val="none"/>
        </w:rPr>
      </w:pPr>
      <w:r>
        <w:rPr>
          <w:rFonts w:hint="default" w:ascii="Times New Roman" w:hAnsi="Times New Roman" w:cs="Times New Roman"/>
          <w:b/>
          <w:color w:val="auto"/>
          <w:sz w:val="30"/>
          <w:highlight w:val="none"/>
        </w:rPr>
        <w:br w:type="page"/>
      </w:r>
      <w:r>
        <w:rPr>
          <w:rFonts w:ascii="宋体" w:hAnsi="宋体"/>
          <w:color w:val="auto"/>
          <w:sz w:val="32"/>
          <w:highlight w:val="none"/>
          <w:u w:val="single"/>
        </w:rPr>
        <w:t xml:space="preserve">                    </w:t>
      </w:r>
      <w:r>
        <w:rPr>
          <w:rFonts w:ascii="宋体" w:hAnsi="宋体"/>
          <w:color w:val="auto"/>
          <w:sz w:val="28"/>
          <w:highlight w:val="none"/>
        </w:rPr>
        <w:t>（项目名称）招标</w:t>
      </w:r>
    </w:p>
    <w:p w14:paraId="5130BEBD">
      <w:pPr>
        <w:jc w:val="both"/>
        <w:rPr>
          <w:rFonts w:ascii="宋体"/>
          <w:color w:val="auto"/>
          <w:sz w:val="28"/>
          <w:highlight w:val="none"/>
        </w:rPr>
      </w:pPr>
    </w:p>
    <w:p w14:paraId="2D880846">
      <w:pPr>
        <w:jc w:val="center"/>
        <w:rPr>
          <w:rFonts w:ascii="宋体"/>
          <w:color w:val="auto"/>
          <w:sz w:val="28"/>
          <w:highlight w:val="none"/>
        </w:rPr>
      </w:pPr>
    </w:p>
    <w:p w14:paraId="711FC2D7">
      <w:pPr>
        <w:jc w:val="center"/>
        <w:rPr>
          <w:rFonts w:ascii="宋体"/>
          <w:color w:val="auto"/>
          <w:sz w:val="28"/>
          <w:highlight w:val="none"/>
        </w:rPr>
      </w:pPr>
    </w:p>
    <w:p w14:paraId="6D7197C3">
      <w:pPr>
        <w:jc w:val="center"/>
        <w:rPr>
          <w:rFonts w:ascii="宋体"/>
          <w:color w:val="auto"/>
          <w:sz w:val="28"/>
          <w:highlight w:val="none"/>
        </w:rPr>
      </w:pPr>
    </w:p>
    <w:p w14:paraId="44CCF3DA">
      <w:pPr>
        <w:spacing w:before="240" w:beforeLines="100"/>
        <w:jc w:val="center"/>
        <w:rPr>
          <w:rFonts w:ascii="宋体"/>
          <w:color w:val="auto"/>
          <w:sz w:val="44"/>
          <w:highlight w:val="none"/>
        </w:rPr>
      </w:pPr>
      <w:r>
        <w:rPr>
          <w:rFonts w:ascii="宋体" w:hAnsi="宋体"/>
          <w:color w:val="auto"/>
          <w:sz w:val="44"/>
          <w:highlight w:val="none"/>
        </w:rPr>
        <w:t>投  标  文  件</w:t>
      </w:r>
    </w:p>
    <w:p w14:paraId="7E3BCF75">
      <w:pPr>
        <w:jc w:val="center"/>
        <w:rPr>
          <w:rFonts w:ascii="宋体"/>
          <w:color w:val="auto"/>
          <w:sz w:val="32"/>
          <w:highlight w:val="none"/>
        </w:rPr>
      </w:pPr>
    </w:p>
    <w:p w14:paraId="5247F598">
      <w:pPr>
        <w:jc w:val="center"/>
        <w:rPr>
          <w:rFonts w:ascii="宋体"/>
          <w:color w:val="auto"/>
          <w:sz w:val="32"/>
          <w:highlight w:val="none"/>
        </w:rPr>
      </w:pPr>
      <w:r>
        <w:rPr>
          <w:rFonts w:ascii="宋体" w:hAnsi="宋体"/>
          <w:color w:val="auto"/>
          <w:sz w:val="32"/>
          <w:highlight w:val="none"/>
        </w:rPr>
        <w:t>（商务标）</w:t>
      </w:r>
    </w:p>
    <w:p w14:paraId="209DE955">
      <w:pPr>
        <w:jc w:val="center"/>
        <w:rPr>
          <w:rFonts w:ascii="宋体"/>
          <w:color w:val="auto"/>
          <w:sz w:val="32"/>
          <w:highlight w:val="none"/>
        </w:rPr>
      </w:pPr>
    </w:p>
    <w:p w14:paraId="53836211">
      <w:pPr>
        <w:jc w:val="center"/>
        <w:rPr>
          <w:rFonts w:ascii="宋体"/>
          <w:color w:val="auto"/>
          <w:sz w:val="32"/>
          <w:highlight w:val="none"/>
        </w:rPr>
      </w:pPr>
    </w:p>
    <w:p w14:paraId="464FCC08">
      <w:pPr>
        <w:jc w:val="both"/>
        <w:rPr>
          <w:rFonts w:ascii="宋体"/>
          <w:color w:val="auto"/>
          <w:sz w:val="32"/>
          <w:highlight w:val="none"/>
        </w:rPr>
      </w:pPr>
    </w:p>
    <w:p w14:paraId="600AD8A1">
      <w:pPr>
        <w:jc w:val="center"/>
        <w:rPr>
          <w:rFonts w:ascii="宋体"/>
          <w:color w:val="auto"/>
          <w:sz w:val="32"/>
          <w:highlight w:val="none"/>
        </w:rPr>
      </w:pPr>
    </w:p>
    <w:p w14:paraId="5CF20CF4">
      <w:pPr>
        <w:jc w:val="center"/>
        <w:rPr>
          <w:rFonts w:ascii="宋体"/>
          <w:color w:val="auto"/>
          <w:sz w:val="32"/>
          <w:highlight w:val="none"/>
        </w:rPr>
      </w:pPr>
    </w:p>
    <w:p w14:paraId="7CBB00F7">
      <w:pPr>
        <w:jc w:val="center"/>
        <w:rPr>
          <w:rFonts w:ascii="宋体"/>
          <w:color w:val="auto"/>
          <w:sz w:val="32"/>
          <w:highlight w:val="none"/>
        </w:rPr>
      </w:pPr>
    </w:p>
    <w:p w14:paraId="19B70021">
      <w:pPr>
        <w:spacing w:line="360" w:lineRule="auto"/>
        <w:jc w:val="center"/>
        <w:rPr>
          <w:rFonts w:ascii="宋体"/>
          <w:color w:val="auto"/>
          <w:sz w:val="28"/>
          <w:highlight w:val="none"/>
        </w:rPr>
      </w:pPr>
      <w:r>
        <w:rPr>
          <w:rFonts w:ascii="宋体" w:hAnsi="宋体"/>
          <w:color w:val="auto"/>
          <w:sz w:val="28"/>
          <w:highlight w:val="none"/>
        </w:rPr>
        <w:t>投标人：</w:t>
      </w:r>
      <w:r>
        <w:rPr>
          <w:rFonts w:ascii="宋体" w:hAnsi="宋体"/>
          <w:color w:val="auto"/>
          <w:sz w:val="28"/>
          <w:highlight w:val="none"/>
          <w:u w:val="single"/>
        </w:rPr>
        <w:t xml:space="preserve">                               </w:t>
      </w:r>
      <w:r>
        <w:rPr>
          <w:rFonts w:ascii="宋体" w:hAnsi="宋体"/>
          <w:color w:val="auto"/>
          <w:sz w:val="28"/>
          <w:highlight w:val="none"/>
        </w:rPr>
        <w:t>（盖单位章）</w:t>
      </w:r>
    </w:p>
    <w:p w14:paraId="65671A7D">
      <w:pPr>
        <w:spacing w:line="360" w:lineRule="auto"/>
        <w:jc w:val="center"/>
        <w:rPr>
          <w:rFonts w:ascii="宋体"/>
          <w:color w:val="auto"/>
          <w:sz w:val="28"/>
          <w:highlight w:val="none"/>
        </w:rPr>
      </w:pPr>
      <w:r>
        <w:rPr>
          <w:rFonts w:ascii="宋体" w:hAnsi="宋体"/>
          <w:color w:val="auto"/>
          <w:sz w:val="28"/>
          <w:highlight w:val="none"/>
        </w:rPr>
        <w:t>法定代表人：</w:t>
      </w:r>
      <w:r>
        <w:rPr>
          <w:rFonts w:ascii="宋体" w:hAnsi="宋体"/>
          <w:color w:val="auto"/>
          <w:sz w:val="28"/>
          <w:highlight w:val="none"/>
          <w:u w:val="single"/>
        </w:rPr>
        <w:t xml:space="preserve">                         </w:t>
      </w:r>
      <w:r>
        <w:rPr>
          <w:rFonts w:ascii="宋体" w:hAnsi="宋体"/>
          <w:color w:val="auto"/>
          <w:sz w:val="28"/>
          <w:highlight w:val="none"/>
        </w:rPr>
        <w:t>（签字或盖章）</w:t>
      </w:r>
    </w:p>
    <w:p w14:paraId="03786B9E">
      <w:pPr>
        <w:jc w:val="center"/>
        <w:rPr>
          <w:rFonts w:ascii="宋体"/>
          <w:color w:val="auto"/>
          <w:sz w:val="28"/>
          <w:highlight w:val="none"/>
        </w:rPr>
      </w:pPr>
      <w:r>
        <w:rPr>
          <w:rFonts w:ascii="宋体" w:hAnsi="宋体"/>
          <w:color w:val="auto"/>
          <w:sz w:val="28"/>
          <w:highlight w:val="none"/>
          <w:u w:val="single"/>
        </w:rPr>
        <w:t xml:space="preserve">         </w:t>
      </w:r>
      <w:r>
        <w:rPr>
          <w:rFonts w:ascii="宋体" w:hAnsi="宋体"/>
          <w:color w:val="auto"/>
          <w:sz w:val="28"/>
          <w:highlight w:val="none"/>
        </w:rPr>
        <w:t>年</w:t>
      </w:r>
      <w:r>
        <w:rPr>
          <w:rFonts w:ascii="宋体" w:hAnsi="宋体"/>
          <w:color w:val="auto"/>
          <w:sz w:val="28"/>
          <w:highlight w:val="none"/>
          <w:u w:val="single"/>
        </w:rPr>
        <w:t xml:space="preserve">         </w:t>
      </w:r>
      <w:r>
        <w:rPr>
          <w:rFonts w:ascii="宋体" w:hAnsi="宋体"/>
          <w:color w:val="auto"/>
          <w:sz w:val="28"/>
          <w:highlight w:val="none"/>
        </w:rPr>
        <w:t>月</w:t>
      </w:r>
      <w:r>
        <w:rPr>
          <w:rFonts w:ascii="宋体" w:hAnsi="宋体"/>
          <w:color w:val="auto"/>
          <w:sz w:val="28"/>
          <w:highlight w:val="none"/>
          <w:u w:val="single"/>
        </w:rPr>
        <w:t xml:space="preserve">         </w:t>
      </w:r>
      <w:r>
        <w:rPr>
          <w:rFonts w:ascii="宋体" w:hAnsi="宋体"/>
          <w:color w:val="auto"/>
          <w:sz w:val="28"/>
          <w:highlight w:val="none"/>
        </w:rPr>
        <w:t>日</w:t>
      </w:r>
    </w:p>
    <w:p w14:paraId="53EF32DD">
      <w:pPr>
        <w:spacing w:line="500" w:lineRule="exact"/>
        <w:jc w:val="both"/>
        <w:rPr>
          <w:rFonts w:hint="eastAsia" w:ascii="宋体" w:hAnsi="宋体"/>
          <w:bCs/>
          <w:color w:val="auto"/>
          <w:sz w:val="24"/>
          <w:szCs w:val="24"/>
          <w:highlight w:val="none"/>
          <w:lang w:val="en-US" w:eastAsia="zh-CN"/>
        </w:rPr>
      </w:pPr>
      <w:r>
        <w:rPr>
          <w:rFonts w:hint="eastAsia" w:ascii="宋体" w:hAnsi="宋体" w:eastAsia="宋体"/>
          <w:bCs/>
          <w:color w:val="auto"/>
          <w:sz w:val="28"/>
          <w:szCs w:val="28"/>
          <w:highlight w:val="none"/>
          <w:lang w:val="en-US" w:eastAsia="zh-CN"/>
        </w:rPr>
        <w:br w:type="page"/>
      </w:r>
    </w:p>
    <w:p w14:paraId="4BAB0854">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bCs/>
          <w:color w:val="auto"/>
          <w:sz w:val="24"/>
          <w:szCs w:val="24"/>
          <w:highlight w:val="none"/>
          <w:lang w:val="en-US" w:eastAsia="zh-CN"/>
        </w:rPr>
      </w:pPr>
    </w:p>
    <w:p w14:paraId="3B2C1386">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bCs/>
          <w:color w:val="auto"/>
          <w:sz w:val="24"/>
          <w:szCs w:val="24"/>
          <w:highlight w:val="none"/>
          <w:lang w:val="en-US" w:eastAsia="zh-CN"/>
        </w:rPr>
      </w:pPr>
      <w:r>
        <w:rPr>
          <w:rFonts w:hint="eastAsia" w:ascii="宋体" w:hAnsi="宋体"/>
          <w:bCs/>
          <w:color w:val="auto"/>
          <w:sz w:val="24"/>
          <w:szCs w:val="24"/>
          <w:highlight w:val="none"/>
          <w:lang w:val="en-US" w:eastAsia="zh-CN"/>
        </w:rPr>
        <w:t>商务标目录：</w:t>
      </w:r>
    </w:p>
    <w:p w14:paraId="7EDA5F94">
      <w:pPr>
        <w:spacing w:line="500" w:lineRule="exact"/>
        <w:ind w:firstLine="440" w:firstLineChars="200"/>
        <w:jc w:val="both"/>
        <w:rPr>
          <w:rFonts w:hint="eastAsia" w:ascii="宋体" w:hAnsi="宋体" w:eastAsia="宋体"/>
          <w:color w:val="auto"/>
          <w:sz w:val="22"/>
          <w:szCs w:val="22"/>
          <w:highlight w:val="none"/>
          <w:lang w:eastAsia="zh-CN"/>
        </w:rPr>
      </w:pPr>
      <w:r>
        <w:rPr>
          <w:rFonts w:hint="eastAsia" w:ascii="宋体" w:hAnsi="宋体"/>
          <w:color w:val="auto"/>
          <w:sz w:val="22"/>
          <w:szCs w:val="22"/>
          <w:highlight w:val="none"/>
          <w:lang w:val="en-US" w:eastAsia="zh-CN"/>
        </w:rPr>
        <w:t>1.</w:t>
      </w:r>
      <w:r>
        <w:rPr>
          <w:rFonts w:hint="eastAsia" w:ascii="宋体" w:hAnsi="宋体"/>
          <w:color w:val="auto"/>
          <w:sz w:val="22"/>
          <w:szCs w:val="22"/>
          <w:highlight w:val="none"/>
        </w:rPr>
        <w:t>投标承诺书</w:t>
      </w:r>
      <w:r>
        <w:rPr>
          <w:rFonts w:hint="eastAsia"/>
          <w:color w:val="auto"/>
          <w:sz w:val="22"/>
          <w:szCs w:val="28"/>
          <w:highlight w:val="none"/>
        </w:rPr>
        <w:t>（格式见后）</w:t>
      </w:r>
      <w:r>
        <w:rPr>
          <w:rFonts w:hint="eastAsia" w:ascii="宋体" w:hAnsi="宋体"/>
          <w:color w:val="auto"/>
          <w:sz w:val="22"/>
          <w:szCs w:val="22"/>
          <w:highlight w:val="none"/>
          <w:lang w:eastAsia="zh-CN"/>
        </w:rPr>
        <w:t>；</w:t>
      </w:r>
    </w:p>
    <w:p w14:paraId="49DE2D05">
      <w:pPr>
        <w:keepNext w:val="0"/>
        <w:keepLines w:val="0"/>
        <w:pageBreakBefore w:val="0"/>
        <w:widowControl w:val="0"/>
        <w:kinsoku/>
        <w:wordWrap/>
        <w:overflowPunct/>
        <w:topLinePunct w:val="0"/>
        <w:bidi w:val="0"/>
        <w:spacing w:line="440" w:lineRule="exact"/>
        <w:ind w:firstLine="440" w:firstLineChars="200"/>
        <w:textAlignment w:val="auto"/>
        <w:rPr>
          <w:rFonts w:hint="eastAsia" w:ascii="宋体" w:hAnsi="宋体" w:eastAsia="宋体"/>
          <w:color w:val="auto"/>
          <w:sz w:val="22"/>
          <w:szCs w:val="22"/>
          <w:highlight w:val="none"/>
          <w:lang w:eastAsia="zh-CN"/>
        </w:rPr>
      </w:pPr>
      <w:r>
        <w:rPr>
          <w:rFonts w:hint="eastAsia" w:ascii="宋体" w:hAnsi="宋体"/>
          <w:color w:val="auto"/>
          <w:sz w:val="22"/>
          <w:szCs w:val="22"/>
          <w:highlight w:val="none"/>
          <w:lang w:val="en-US" w:eastAsia="zh-CN"/>
        </w:rPr>
        <w:t>2.</w:t>
      </w:r>
      <w:r>
        <w:rPr>
          <w:rFonts w:hint="eastAsia" w:ascii="宋体" w:hAnsi="宋体"/>
          <w:color w:val="auto"/>
          <w:sz w:val="22"/>
          <w:szCs w:val="22"/>
          <w:highlight w:val="none"/>
        </w:rPr>
        <w:t>投标函</w:t>
      </w:r>
      <w:r>
        <w:rPr>
          <w:rFonts w:hint="eastAsia"/>
          <w:color w:val="auto"/>
          <w:sz w:val="22"/>
          <w:szCs w:val="28"/>
          <w:highlight w:val="none"/>
        </w:rPr>
        <w:t>（格式见后）</w:t>
      </w:r>
      <w:r>
        <w:rPr>
          <w:rFonts w:hint="eastAsia" w:ascii="宋体" w:hAnsi="宋体"/>
          <w:color w:val="auto"/>
          <w:sz w:val="22"/>
          <w:szCs w:val="22"/>
          <w:highlight w:val="none"/>
          <w:lang w:eastAsia="zh-CN"/>
        </w:rPr>
        <w:t>；</w:t>
      </w:r>
    </w:p>
    <w:p w14:paraId="0F069CE0">
      <w:pPr>
        <w:keepNext w:val="0"/>
        <w:keepLines w:val="0"/>
        <w:pageBreakBefore w:val="0"/>
        <w:widowControl w:val="0"/>
        <w:kinsoku/>
        <w:wordWrap/>
        <w:overflowPunct/>
        <w:topLinePunct w:val="0"/>
        <w:bidi w:val="0"/>
        <w:spacing w:line="440" w:lineRule="exact"/>
        <w:ind w:firstLine="440" w:firstLineChars="200"/>
        <w:textAlignment w:val="auto"/>
        <w:rPr>
          <w:rFonts w:hint="eastAsia"/>
          <w:color w:val="auto"/>
          <w:sz w:val="22"/>
          <w:szCs w:val="28"/>
          <w:highlight w:val="none"/>
          <w:lang w:eastAsia="zh-CN"/>
        </w:rPr>
      </w:pPr>
      <w:r>
        <w:rPr>
          <w:rFonts w:hint="eastAsia" w:ascii="宋体" w:hAnsi="宋体" w:eastAsia="宋体" w:cs="宋体"/>
          <w:color w:val="auto"/>
          <w:sz w:val="22"/>
          <w:szCs w:val="22"/>
          <w:highlight w:val="none"/>
          <w:lang w:val="en-US" w:eastAsia="zh-CN"/>
        </w:rPr>
        <w:t>3.总报价书</w:t>
      </w:r>
      <w:r>
        <w:rPr>
          <w:rFonts w:hint="eastAsia"/>
          <w:color w:val="auto"/>
          <w:sz w:val="22"/>
          <w:szCs w:val="28"/>
          <w:highlight w:val="none"/>
        </w:rPr>
        <w:t>（格式见后）</w:t>
      </w:r>
      <w:r>
        <w:rPr>
          <w:rFonts w:hint="eastAsia"/>
          <w:color w:val="auto"/>
          <w:sz w:val="22"/>
          <w:szCs w:val="28"/>
          <w:highlight w:val="none"/>
          <w:lang w:eastAsia="zh-CN"/>
        </w:rPr>
        <w:t>；</w:t>
      </w:r>
    </w:p>
    <w:p w14:paraId="14380FBC">
      <w:pPr>
        <w:keepNext w:val="0"/>
        <w:keepLines w:val="0"/>
        <w:pageBreakBefore w:val="0"/>
        <w:widowControl w:val="0"/>
        <w:kinsoku/>
        <w:wordWrap/>
        <w:overflowPunct/>
        <w:topLinePunct w:val="0"/>
        <w:bidi w:val="0"/>
        <w:spacing w:line="440" w:lineRule="exact"/>
        <w:ind w:firstLine="440" w:firstLineChars="200"/>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val="en-US" w:eastAsia="zh-CN"/>
        </w:rPr>
        <w:t>4.报</w:t>
      </w:r>
      <w:r>
        <w:rPr>
          <w:rFonts w:hint="eastAsia"/>
          <w:color w:val="auto"/>
          <w:sz w:val="22"/>
          <w:szCs w:val="28"/>
          <w:highlight w:val="none"/>
          <w:lang w:val="en-US" w:eastAsia="zh-CN"/>
        </w:rPr>
        <w:t>价明细表（格式见后）</w:t>
      </w:r>
      <w:r>
        <w:rPr>
          <w:rFonts w:hint="eastAsia"/>
          <w:color w:val="auto"/>
          <w:sz w:val="22"/>
          <w:szCs w:val="28"/>
          <w:highlight w:val="none"/>
          <w:lang w:eastAsia="zh-CN"/>
        </w:rPr>
        <w:t>。</w:t>
      </w:r>
    </w:p>
    <w:p w14:paraId="088844F9">
      <w:pPr>
        <w:rPr>
          <w:rFonts w:hint="eastAsia" w:ascii="宋体" w:hAnsi="宋体" w:eastAsia="宋体"/>
          <w:bCs/>
          <w:color w:val="auto"/>
          <w:sz w:val="28"/>
          <w:szCs w:val="28"/>
          <w:highlight w:val="none"/>
          <w:lang w:val="en-US" w:eastAsia="zh-CN"/>
        </w:rPr>
      </w:pPr>
    </w:p>
    <w:p w14:paraId="715B8AEE">
      <w:pPr>
        <w:spacing w:line="500" w:lineRule="exact"/>
        <w:jc w:val="right"/>
        <w:rPr>
          <w:rFonts w:hint="eastAsia" w:ascii="宋体" w:hAnsi="宋体" w:eastAsia="宋体"/>
          <w:bCs/>
          <w:color w:val="auto"/>
          <w:sz w:val="28"/>
          <w:szCs w:val="28"/>
          <w:highlight w:val="none"/>
          <w:lang w:val="en-US" w:eastAsia="zh-CN"/>
        </w:rPr>
      </w:pPr>
    </w:p>
    <w:p w14:paraId="0C5880B5">
      <w:pPr>
        <w:rPr>
          <w:rFonts w:hint="eastAsia" w:ascii="宋体" w:hAnsi="宋体"/>
          <w:b/>
          <w:color w:val="auto"/>
          <w:kern w:val="0"/>
          <w:sz w:val="36"/>
          <w:highlight w:val="none"/>
        </w:rPr>
      </w:pPr>
      <w:r>
        <w:rPr>
          <w:rFonts w:hint="eastAsia" w:ascii="宋体" w:hAnsi="宋体"/>
          <w:b/>
          <w:color w:val="auto"/>
          <w:kern w:val="0"/>
          <w:sz w:val="36"/>
          <w:highlight w:val="none"/>
        </w:rPr>
        <w:br w:type="page"/>
      </w:r>
    </w:p>
    <w:p w14:paraId="54671613">
      <w:pPr>
        <w:spacing w:line="500" w:lineRule="exact"/>
        <w:jc w:val="center"/>
        <w:rPr>
          <w:rFonts w:hint="eastAsia" w:ascii="宋体" w:hAnsi="宋体"/>
          <w:b/>
          <w:color w:val="auto"/>
          <w:kern w:val="0"/>
          <w:sz w:val="36"/>
          <w:highlight w:val="none"/>
        </w:rPr>
      </w:pPr>
    </w:p>
    <w:p w14:paraId="3F3636F4">
      <w:pPr>
        <w:spacing w:line="500" w:lineRule="exact"/>
        <w:jc w:val="center"/>
        <w:rPr>
          <w:rFonts w:ascii="宋体" w:hAnsi="宋体"/>
          <w:b/>
          <w:color w:val="auto"/>
          <w:kern w:val="0"/>
          <w:sz w:val="36"/>
          <w:highlight w:val="none"/>
        </w:rPr>
      </w:pPr>
      <w:r>
        <w:rPr>
          <w:rFonts w:hint="eastAsia" w:ascii="宋体" w:hAnsi="宋体"/>
          <w:b/>
          <w:color w:val="auto"/>
          <w:kern w:val="0"/>
          <w:sz w:val="36"/>
          <w:highlight w:val="none"/>
          <w:lang w:eastAsia="zh-CN"/>
        </w:rPr>
        <w:t>一、</w:t>
      </w:r>
      <w:r>
        <w:rPr>
          <w:rFonts w:hint="eastAsia" w:ascii="宋体" w:hAnsi="宋体"/>
          <w:b/>
          <w:color w:val="auto"/>
          <w:kern w:val="0"/>
          <w:sz w:val="36"/>
          <w:highlight w:val="none"/>
        </w:rPr>
        <w:t>投 标 承 诺 书</w:t>
      </w:r>
    </w:p>
    <w:p w14:paraId="33AA1E3B">
      <w:pPr>
        <w:spacing w:line="500" w:lineRule="exact"/>
        <w:jc w:val="center"/>
        <w:rPr>
          <w:rFonts w:ascii="宋体" w:hAnsi="宋体"/>
          <w:color w:val="auto"/>
          <w:kern w:val="0"/>
          <w:sz w:val="36"/>
          <w:highlight w:val="none"/>
        </w:rPr>
      </w:pPr>
    </w:p>
    <w:p w14:paraId="713C35D7">
      <w:pPr>
        <w:spacing w:line="500" w:lineRule="exact"/>
        <w:ind w:firstLine="440" w:firstLineChars="200"/>
        <w:rPr>
          <w:rFonts w:ascii="宋体" w:hAnsi="宋体"/>
          <w:color w:val="auto"/>
          <w:kern w:val="0"/>
          <w:sz w:val="22"/>
          <w:szCs w:val="22"/>
          <w:highlight w:val="none"/>
        </w:rPr>
      </w:pPr>
      <w:r>
        <w:rPr>
          <w:rFonts w:hint="eastAsia" w:ascii="宋体" w:hAnsi="宋体"/>
          <w:color w:val="auto"/>
          <w:kern w:val="0"/>
          <w:sz w:val="22"/>
          <w:szCs w:val="22"/>
          <w:highlight w:val="none"/>
        </w:rPr>
        <w:t>致：</w:t>
      </w:r>
      <w:r>
        <w:rPr>
          <w:rFonts w:hint="eastAsia" w:ascii="宋体" w:hAnsi="宋体"/>
          <w:color w:val="auto"/>
          <w:sz w:val="22"/>
          <w:szCs w:val="22"/>
          <w:highlight w:val="none"/>
          <w:u w:val="single"/>
        </w:rPr>
        <w:t xml:space="preserve">                        </w:t>
      </w:r>
      <w:r>
        <w:rPr>
          <w:rFonts w:hint="eastAsia" w:ascii="宋体" w:hAnsi="宋体"/>
          <w:color w:val="auto"/>
          <w:kern w:val="0"/>
          <w:sz w:val="22"/>
          <w:szCs w:val="22"/>
          <w:highlight w:val="none"/>
        </w:rPr>
        <w:t>（招标人）</w:t>
      </w:r>
    </w:p>
    <w:p w14:paraId="7FCA572E">
      <w:pPr>
        <w:spacing w:line="500" w:lineRule="exact"/>
        <w:ind w:firstLine="440" w:firstLineChars="200"/>
        <w:rPr>
          <w:rFonts w:ascii="宋体" w:hAnsi="宋体"/>
          <w:color w:val="auto"/>
          <w:kern w:val="0"/>
          <w:sz w:val="22"/>
          <w:szCs w:val="22"/>
          <w:highlight w:val="none"/>
        </w:rPr>
      </w:pPr>
      <w:r>
        <w:rPr>
          <w:rFonts w:hint="eastAsia" w:ascii="宋体" w:hAnsi="宋体"/>
          <w:color w:val="auto"/>
          <w:kern w:val="0"/>
          <w:sz w:val="22"/>
          <w:szCs w:val="22"/>
          <w:highlight w:val="none"/>
        </w:rPr>
        <w:t>根据贵公司</w:t>
      </w:r>
      <w:r>
        <w:rPr>
          <w:rFonts w:hint="eastAsia" w:ascii="宋体" w:hAnsi="宋体"/>
          <w:color w:val="auto"/>
          <w:kern w:val="0"/>
          <w:sz w:val="22"/>
          <w:szCs w:val="22"/>
          <w:highlight w:val="none"/>
          <w:u w:val="single"/>
          <w:lang w:val="en-US" w:eastAsia="zh-CN"/>
        </w:rPr>
        <w:t xml:space="preserve">                              </w:t>
      </w:r>
      <w:r>
        <w:rPr>
          <w:rFonts w:hint="eastAsia" w:ascii="宋体" w:hAnsi="宋体"/>
          <w:color w:val="auto"/>
          <w:kern w:val="0"/>
          <w:sz w:val="22"/>
          <w:szCs w:val="22"/>
          <w:highlight w:val="none"/>
        </w:rPr>
        <w:t>项目的招标文件，现决定参加</w:t>
      </w:r>
      <w:r>
        <w:rPr>
          <w:rFonts w:hint="eastAsia" w:ascii="宋体" w:hAnsi="宋体"/>
          <w:color w:val="auto"/>
          <w:kern w:val="0"/>
          <w:sz w:val="22"/>
          <w:szCs w:val="22"/>
          <w:highlight w:val="none"/>
          <w:u w:val="single"/>
          <w:lang w:eastAsia="zh-CN"/>
        </w:rPr>
        <w:t>该</w:t>
      </w:r>
      <w:r>
        <w:rPr>
          <w:rFonts w:hint="eastAsia" w:ascii="宋体" w:hAnsi="宋体"/>
          <w:color w:val="auto"/>
          <w:kern w:val="0"/>
          <w:sz w:val="22"/>
          <w:szCs w:val="22"/>
          <w:highlight w:val="none"/>
        </w:rPr>
        <w:t>项目的</w:t>
      </w:r>
      <w:r>
        <w:rPr>
          <w:rFonts w:hint="eastAsia" w:ascii="宋体" w:hAnsi="宋体"/>
          <w:color w:val="auto"/>
          <w:sz w:val="22"/>
          <w:szCs w:val="22"/>
          <w:highlight w:val="none"/>
        </w:rPr>
        <w:t>投</w:t>
      </w:r>
      <w:r>
        <w:rPr>
          <w:rFonts w:hint="eastAsia" w:ascii="宋体" w:hAnsi="宋体"/>
          <w:color w:val="auto"/>
          <w:kern w:val="0"/>
          <w:sz w:val="22"/>
          <w:szCs w:val="22"/>
          <w:highlight w:val="none"/>
        </w:rPr>
        <w:t>标，我</w:t>
      </w:r>
      <w:r>
        <w:rPr>
          <w:rFonts w:hint="eastAsia" w:ascii="宋体" w:hAnsi="宋体"/>
          <w:color w:val="auto"/>
          <w:kern w:val="0"/>
          <w:sz w:val="22"/>
          <w:szCs w:val="22"/>
          <w:highlight w:val="none"/>
          <w:u w:val="single"/>
        </w:rPr>
        <w:t xml:space="preserve">            </w:t>
      </w:r>
      <w:r>
        <w:rPr>
          <w:rFonts w:hint="eastAsia" w:ascii="宋体" w:hAnsi="宋体"/>
          <w:color w:val="auto"/>
          <w:kern w:val="0"/>
          <w:sz w:val="22"/>
          <w:szCs w:val="22"/>
          <w:highlight w:val="none"/>
        </w:rPr>
        <w:t>（法定代表人），委托</w:t>
      </w:r>
      <w:r>
        <w:rPr>
          <w:rFonts w:hint="eastAsia" w:ascii="宋体" w:hAnsi="宋体"/>
          <w:color w:val="auto"/>
          <w:kern w:val="0"/>
          <w:sz w:val="22"/>
          <w:szCs w:val="22"/>
          <w:highlight w:val="none"/>
          <w:u w:val="single"/>
        </w:rPr>
        <w:t xml:space="preserve">    </w:t>
      </w:r>
      <w:r>
        <w:rPr>
          <w:rFonts w:hint="eastAsia" w:ascii="宋体" w:hAnsi="宋体"/>
          <w:color w:val="auto"/>
          <w:kern w:val="0"/>
          <w:sz w:val="22"/>
          <w:szCs w:val="22"/>
          <w:highlight w:val="none"/>
          <w:u w:val="single"/>
          <w:lang w:val="en-US" w:eastAsia="zh-CN"/>
        </w:rPr>
        <w:t xml:space="preserve">                     </w:t>
      </w:r>
      <w:r>
        <w:rPr>
          <w:rFonts w:hint="eastAsia" w:ascii="宋体" w:hAnsi="宋体"/>
          <w:color w:val="auto"/>
          <w:kern w:val="0"/>
          <w:sz w:val="22"/>
          <w:szCs w:val="22"/>
          <w:highlight w:val="none"/>
          <w:u w:val="single"/>
        </w:rPr>
        <w:t xml:space="preserve"> </w:t>
      </w:r>
      <w:r>
        <w:rPr>
          <w:rFonts w:hint="eastAsia" w:ascii="宋体" w:hAnsi="宋体"/>
          <w:color w:val="auto"/>
          <w:kern w:val="0"/>
          <w:sz w:val="22"/>
          <w:szCs w:val="22"/>
          <w:highlight w:val="none"/>
        </w:rPr>
        <w:t>（投标人全称）</w:t>
      </w:r>
      <w:r>
        <w:rPr>
          <w:rFonts w:hint="eastAsia" w:ascii="宋体" w:hAnsi="宋体"/>
          <w:color w:val="auto"/>
          <w:kern w:val="0"/>
          <w:sz w:val="22"/>
          <w:szCs w:val="22"/>
          <w:highlight w:val="none"/>
          <w:u w:val="single"/>
        </w:rPr>
        <w:t xml:space="preserve">   </w:t>
      </w:r>
      <w:r>
        <w:rPr>
          <w:rFonts w:hint="eastAsia" w:ascii="宋体" w:hAnsi="宋体"/>
          <w:color w:val="auto"/>
          <w:kern w:val="0"/>
          <w:sz w:val="22"/>
          <w:szCs w:val="22"/>
          <w:highlight w:val="none"/>
          <w:u w:val="single"/>
          <w:lang w:val="en-US" w:eastAsia="zh-CN"/>
        </w:rPr>
        <w:t xml:space="preserve"> </w:t>
      </w:r>
      <w:r>
        <w:rPr>
          <w:rFonts w:hint="eastAsia" w:ascii="宋体" w:hAnsi="宋体"/>
          <w:color w:val="auto"/>
          <w:kern w:val="0"/>
          <w:sz w:val="22"/>
          <w:szCs w:val="22"/>
          <w:highlight w:val="none"/>
          <w:u w:val="single"/>
        </w:rPr>
        <w:t xml:space="preserve"> </w:t>
      </w:r>
      <w:r>
        <w:rPr>
          <w:rFonts w:hint="eastAsia" w:ascii="宋体" w:hAnsi="宋体"/>
          <w:color w:val="auto"/>
          <w:kern w:val="0"/>
          <w:sz w:val="22"/>
          <w:szCs w:val="22"/>
          <w:highlight w:val="none"/>
        </w:rPr>
        <w:t>（职务）</w:t>
      </w:r>
      <w:r>
        <w:rPr>
          <w:rFonts w:hint="eastAsia" w:ascii="宋体" w:hAnsi="宋体"/>
          <w:color w:val="auto"/>
          <w:kern w:val="0"/>
          <w:sz w:val="22"/>
          <w:szCs w:val="22"/>
          <w:highlight w:val="none"/>
          <w:u w:val="single"/>
        </w:rPr>
        <w:t xml:space="preserve">  </w:t>
      </w:r>
      <w:r>
        <w:rPr>
          <w:rFonts w:hint="eastAsia" w:ascii="宋体" w:hAnsi="宋体"/>
          <w:color w:val="auto"/>
          <w:kern w:val="0"/>
          <w:sz w:val="22"/>
          <w:szCs w:val="22"/>
          <w:highlight w:val="none"/>
          <w:u w:val="single"/>
          <w:lang w:val="en-US" w:eastAsia="zh-CN"/>
        </w:rPr>
        <w:t xml:space="preserve">    </w:t>
      </w:r>
      <w:r>
        <w:rPr>
          <w:rFonts w:hint="eastAsia" w:ascii="宋体" w:hAnsi="宋体"/>
          <w:color w:val="auto"/>
          <w:kern w:val="0"/>
          <w:sz w:val="22"/>
          <w:szCs w:val="22"/>
          <w:highlight w:val="none"/>
          <w:u w:val="single"/>
        </w:rPr>
        <w:t xml:space="preserve">  </w:t>
      </w:r>
      <w:r>
        <w:rPr>
          <w:rFonts w:hint="eastAsia" w:ascii="宋体" w:hAnsi="宋体"/>
          <w:color w:val="auto"/>
          <w:kern w:val="0"/>
          <w:sz w:val="22"/>
          <w:szCs w:val="22"/>
          <w:highlight w:val="none"/>
        </w:rPr>
        <w:t>（姓名），作为全权代表，在此做如下法律承诺：</w:t>
      </w:r>
    </w:p>
    <w:p w14:paraId="7856CC9F">
      <w:pPr>
        <w:keepNext w:val="0"/>
        <w:keepLines w:val="0"/>
        <w:pageBreakBefore w:val="0"/>
        <w:widowControl w:val="0"/>
        <w:kinsoku/>
        <w:wordWrap/>
        <w:overflowPunct/>
        <w:topLinePunct w:val="0"/>
        <w:autoSpaceDE/>
        <w:autoSpaceDN/>
        <w:bidi w:val="0"/>
        <w:adjustRightInd/>
        <w:snapToGrid/>
        <w:spacing w:line="500" w:lineRule="exact"/>
        <w:ind w:firstLine="440" w:firstLineChars="200"/>
        <w:textAlignment w:val="auto"/>
        <w:rPr>
          <w:rFonts w:ascii="宋体" w:hAnsi="宋体"/>
          <w:color w:val="auto"/>
          <w:kern w:val="0"/>
          <w:sz w:val="22"/>
          <w:szCs w:val="22"/>
          <w:highlight w:val="none"/>
        </w:rPr>
      </w:pPr>
      <w:r>
        <w:rPr>
          <w:rFonts w:hint="eastAsia" w:ascii="宋体" w:hAnsi="宋体"/>
          <w:color w:val="auto"/>
          <w:kern w:val="0"/>
          <w:sz w:val="22"/>
          <w:szCs w:val="22"/>
          <w:highlight w:val="none"/>
        </w:rPr>
        <w:t>1、严格遵守《</w:t>
      </w:r>
      <w:r>
        <w:rPr>
          <w:rFonts w:hint="eastAsia" w:ascii="宋体" w:hAnsi="宋体" w:cs="Times New Roman"/>
          <w:color w:val="auto"/>
          <w:sz w:val="22"/>
          <w:szCs w:val="22"/>
          <w:highlight w:val="none"/>
          <w:lang w:eastAsia="zh-CN"/>
        </w:rPr>
        <w:t>民法典</w:t>
      </w:r>
      <w:r>
        <w:rPr>
          <w:rFonts w:hint="eastAsia" w:ascii="宋体" w:hAnsi="宋体"/>
          <w:color w:val="auto"/>
          <w:kern w:val="0"/>
          <w:sz w:val="22"/>
          <w:szCs w:val="22"/>
          <w:highlight w:val="none"/>
        </w:rPr>
        <w:t>》中的一切规定，履行相关义务。</w:t>
      </w:r>
    </w:p>
    <w:p w14:paraId="7EA2F320">
      <w:pPr>
        <w:keepNext w:val="0"/>
        <w:keepLines w:val="0"/>
        <w:pageBreakBefore w:val="0"/>
        <w:widowControl w:val="0"/>
        <w:kinsoku/>
        <w:wordWrap/>
        <w:overflowPunct/>
        <w:topLinePunct w:val="0"/>
        <w:autoSpaceDE/>
        <w:autoSpaceDN/>
        <w:bidi w:val="0"/>
        <w:adjustRightInd/>
        <w:snapToGrid/>
        <w:spacing w:line="500" w:lineRule="exact"/>
        <w:ind w:firstLine="440" w:firstLineChars="200"/>
        <w:textAlignment w:val="auto"/>
        <w:rPr>
          <w:rFonts w:ascii="宋体" w:hAnsi="宋体"/>
          <w:color w:val="auto"/>
          <w:kern w:val="0"/>
          <w:sz w:val="22"/>
          <w:szCs w:val="22"/>
          <w:highlight w:val="none"/>
        </w:rPr>
      </w:pPr>
      <w:r>
        <w:rPr>
          <w:rFonts w:hint="eastAsia" w:ascii="宋体" w:hAnsi="宋体"/>
          <w:color w:val="auto"/>
          <w:kern w:val="0"/>
          <w:sz w:val="22"/>
          <w:szCs w:val="22"/>
          <w:highlight w:val="none"/>
        </w:rPr>
        <w:t>2、投标文件的内容真实可靠。</w:t>
      </w:r>
    </w:p>
    <w:p w14:paraId="0E367649">
      <w:pPr>
        <w:keepNext w:val="0"/>
        <w:keepLines w:val="0"/>
        <w:pageBreakBefore w:val="0"/>
        <w:widowControl w:val="0"/>
        <w:kinsoku/>
        <w:wordWrap/>
        <w:overflowPunct/>
        <w:topLinePunct w:val="0"/>
        <w:autoSpaceDE/>
        <w:autoSpaceDN/>
        <w:bidi w:val="0"/>
        <w:adjustRightInd/>
        <w:snapToGrid/>
        <w:spacing w:line="500" w:lineRule="exact"/>
        <w:ind w:firstLine="440" w:firstLineChars="200"/>
        <w:textAlignment w:val="auto"/>
        <w:rPr>
          <w:rFonts w:ascii="宋体" w:hAnsi="宋体"/>
          <w:color w:val="auto"/>
          <w:kern w:val="0"/>
          <w:sz w:val="22"/>
          <w:szCs w:val="22"/>
          <w:highlight w:val="none"/>
        </w:rPr>
      </w:pPr>
      <w:r>
        <w:rPr>
          <w:rFonts w:hint="eastAsia" w:ascii="宋体" w:hAnsi="宋体"/>
          <w:color w:val="auto"/>
          <w:kern w:val="0"/>
          <w:sz w:val="22"/>
          <w:szCs w:val="22"/>
          <w:highlight w:val="none"/>
        </w:rPr>
        <w:t>3、如果中标，我单位将按照招标文件的具体规定与贵公司签订合同书，并且严格履行合同义务，如在合同执行过程中出现违约行为，愿承担违约责任。</w:t>
      </w:r>
    </w:p>
    <w:p w14:paraId="2D19EBD0">
      <w:pPr>
        <w:keepNext w:val="0"/>
        <w:keepLines w:val="0"/>
        <w:pageBreakBefore w:val="0"/>
        <w:widowControl w:val="0"/>
        <w:kinsoku/>
        <w:wordWrap/>
        <w:overflowPunct/>
        <w:topLinePunct w:val="0"/>
        <w:autoSpaceDE/>
        <w:autoSpaceDN/>
        <w:bidi w:val="0"/>
        <w:adjustRightInd/>
        <w:snapToGrid/>
        <w:spacing w:line="500" w:lineRule="exact"/>
        <w:ind w:firstLine="440" w:firstLineChars="200"/>
        <w:textAlignment w:val="auto"/>
        <w:rPr>
          <w:rFonts w:ascii="宋体" w:hAnsi="宋体"/>
          <w:color w:val="auto"/>
          <w:kern w:val="0"/>
          <w:sz w:val="22"/>
          <w:szCs w:val="22"/>
          <w:highlight w:val="none"/>
        </w:rPr>
      </w:pPr>
      <w:r>
        <w:rPr>
          <w:rFonts w:hint="eastAsia" w:ascii="宋体" w:hAnsi="宋体"/>
          <w:color w:val="auto"/>
          <w:kern w:val="0"/>
          <w:sz w:val="22"/>
          <w:szCs w:val="22"/>
          <w:highlight w:val="none"/>
        </w:rPr>
        <w:t>4、</w:t>
      </w:r>
      <w:r>
        <w:rPr>
          <w:rFonts w:hint="eastAsia" w:ascii="宋体" w:hAnsi="宋体"/>
          <w:color w:val="auto"/>
          <w:kern w:val="0"/>
          <w:sz w:val="22"/>
          <w:szCs w:val="22"/>
          <w:highlight w:val="none"/>
          <w:lang w:val="zh-CN"/>
        </w:rPr>
        <w:t>同意此次招标文件中的各项内容。</w:t>
      </w:r>
    </w:p>
    <w:p w14:paraId="24913215">
      <w:pPr>
        <w:keepNext w:val="0"/>
        <w:keepLines w:val="0"/>
        <w:pageBreakBefore w:val="0"/>
        <w:widowControl w:val="0"/>
        <w:kinsoku/>
        <w:wordWrap/>
        <w:overflowPunct/>
        <w:topLinePunct w:val="0"/>
        <w:autoSpaceDE/>
        <w:autoSpaceDN/>
        <w:bidi w:val="0"/>
        <w:adjustRightInd/>
        <w:snapToGrid/>
        <w:spacing w:line="500" w:lineRule="exact"/>
        <w:ind w:firstLine="440" w:firstLineChars="200"/>
        <w:textAlignment w:val="auto"/>
        <w:rPr>
          <w:rFonts w:ascii="宋体" w:hAnsi="宋体"/>
          <w:color w:val="auto"/>
          <w:kern w:val="0"/>
          <w:sz w:val="22"/>
          <w:szCs w:val="22"/>
          <w:highlight w:val="none"/>
        </w:rPr>
      </w:pPr>
      <w:r>
        <w:rPr>
          <w:rFonts w:hint="eastAsia" w:ascii="宋体" w:hAnsi="宋体"/>
          <w:color w:val="auto"/>
          <w:kern w:val="0"/>
          <w:sz w:val="22"/>
          <w:szCs w:val="22"/>
          <w:highlight w:val="none"/>
        </w:rPr>
        <w:t>5、同意向招标人提供任何与该项目投标有关的资料。</w:t>
      </w:r>
    </w:p>
    <w:p w14:paraId="08F8A570">
      <w:pPr>
        <w:keepNext w:val="0"/>
        <w:keepLines w:val="0"/>
        <w:pageBreakBefore w:val="0"/>
        <w:widowControl w:val="0"/>
        <w:kinsoku/>
        <w:wordWrap/>
        <w:overflowPunct/>
        <w:topLinePunct w:val="0"/>
        <w:autoSpaceDE/>
        <w:autoSpaceDN/>
        <w:bidi w:val="0"/>
        <w:adjustRightInd/>
        <w:snapToGrid/>
        <w:spacing w:line="500" w:lineRule="exact"/>
        <w:ind w:firstLine="440" w:firstLineChars="200"/>
        <w:textAlignment w:val="auto"/>
        <w:rPr>
          <w:rFonts w:ascii="宋体" w:hAnsi="宋体"/>
          <w:color w:val="auto"/>
          <w:kern w:val="0"/>
          <w:sz w:val="22"/>
          <w:szCs w:val="22"/>
          <w:highlight w:val="none"/>
        </w:rPr>
      </w:pPr>
      <w:r>
        <w:rPr>
          <w:rFonts w:hint="eastAsia" w:ascii="宋体" w:hAnsi="宋体"/>
          <w:color w:val="auto"/>
          <w:kern w:val="0"/>
          <w:sz w:val="22"/>
          <w:szCs w:val="22"/>
          <w:highlight w:val="none"/>
        </w:rPr>
        <w:t>6、我方同意所提交的投标文件在招标文件有效期内有效，我方将受此约束。</w:t>
      </w:r>
    </w:p>
    <w:p w14:paraId="28374BB5">
      <w:pPr>
        <w:keepNext w:val="0"/>
        <w:keepLines w:val="0"/>
        <w:pageBreakBefore w:val="0"/>
        <w:widowControl w:val="0"/>
        <w:kinsoku/>
        <w:wordWrap/>
        <w:overflowPunct/>
        <w:topLinePunct w:val="0"/>
        <w:autoSpaceDE/>
        <w:autoSpaceDN/>
        <w:bidi w:val="0"/>
        <w:adjustRightInd/>
        <w:snapToGrid/>
        <w:spacing w:line="500" w:lineRule="exact"/>
        <w:ind w:firstLine="440" w:firstLineChars="200"/>
        <w:textAlignment w:val="auto"/>
        <w:rPr>
          <w:rFonts w:ascii="宋体" w:hAnsi="宋体"/>
          <w:color w:val="auto"/>
          <w:kern w:val="0"/>
          <w:sz w:val="22"/>
          <w:szCs w:val="22"/>
          <w:highlight w:val="none"/>
        </w:rPr>
      </w:pPr>
    </w:p>
    <w:p w14:paraId="54047C79">
      <w:pPr>
        <w:spacing w:line="480" w:lineRule="auto"/>
        <w:ind w:firstLine="532" w:firstLineChars="242"/>
        <w:rPr>
          <w:rFonts w:hint="eastAsia" w:ascii="宋体" w:hAnsi="宋体"/>
          <w:color w:val="auto"/>
          <w:kern w:val="0"/>
          <w:sz w:val="22"/>
          <w:szCs w:val="22"/>
          <w:highlight w:val="none"/>
        </w:rPr>
      </w:pPr>
      <w:r>
        <w:rPr>
          <w:rFonts w:hint="eastAsia" w:ascii="宋体" w:hAnsi="宋体"/>
          <w:color w:val="auto"/>
          <w:kern w:val="0"/>
          <w:sz w:val="22"/>
          <w:szCs w:val="22"/>
          <w:highlight w:val="none"/>
        </w:rPr>
        <w:t>所有有关本次投标的联络请函、电下列地址：</w:t>
      </w:r>
    </w:p>
    <w:p w14:paraId="2DB682D0">
      <w:pPr>
        <w:spacing w:line="480" w:lineRule="auto"/>
        <w:rPr>
          <w:rFonts w:hint="default" w:ascii="宋体" w:hAnsi="宋体" w:eastAsia="宋体"/>
          <w:color w:val="auto"/>
          <w:kern w:val="0"/>
          <w:sz w:val="22"/>
          <w:szCs w:val="22"/>
          <w:highlight w:val="none"/>
          <w:u w:val="single"/>
          <w:lang w:val="en-US" w:eastAsia="zh-CN"/>
        </w:rPr>
      </w:pPr>
      <w:r>
        <w:rPr>
          <w:rFonts w:hint="eastAsia" w:ascii="宋体" w:hAnsi="宋体"/>
          <w:color w:val="auto"/>
          <w:kern w:val="0"/>
          <w:sz w:val="22"/>
          <w:szCs w:val="22"/>
          <w:highlight w:val="none"/>
        </w:rPr>
        <w:t>地址：</w:t>
      </w:r>
      <w:r>
        <w:rPr>
          <w:rFonts w:hint="eastAsia" w:ascii="宋体" w:hAnsi="宋体"/>
          <w:color w:val="auto"/>
          <w:kern w:val="0"/>
          <w:sz w:val="22"/>
          <w:szCs w:val="22"/>
          <w:highlight w:val="none"/>
          <w:u w:val="single"/>
        </w:rPr>
        <w:t xml:space="preserve">                          </w:t>
      </w:r>
      <w:r>
        <w:rPr>
          <w:rFonts w:hint="eastAsia" w:ascii="宋体" w:hAnsi="宋体"/>
          <w:color w:val="auto"/>
          <w:kern w:val="0"/>
          <w:sz w:val="22"/>
          <w:szCs w:val="22"/>
          <w:highlight w:val="none"/>
        </w:rPr>
        <w:t xml:space="preserve">  邮编：</w:t>
      </w:r>
      <w:r>
        <w:rPr>
          <w:rFonts w:hint="eastAsia" w:ascii="宋体" w:hAnsi="宋体"/>
          <w:color w:val="auto"/>
          <w:kern w:val="0"/>
          <w:sz w:val="22"/>
          <w:szCs w:val="22"/>
          <w:highlight w:val="none"/>
          <w:u w:val="single"/>
          <w:lang w:val="en-US" w:eastAsia="zh-CN"/>
        </w:rPr>
        <w:t xml:space="preserve">                           </w:t>
      </w:r>
    </w:p>
    <w:p w14:paraId="6B769120">
      <w:pPr>
        <w:spacing w:line="480" w:lineRule="auto"/>
        <w:rPr>
          <w:rFonts w:hint="default" w:ascii="宋体" w:hAnsi="宋体" w:eastAsia="宋体"/>
          <w:color w:val="auto"/>
          <w:kern w:val="0"/>
          <w:sz w:val="22"/>
          <w:szCs w:val="22"/>
          <w:highlight w:val="none"/>
          <w:lang w:val="en-US" w:eastAsia="zh-CN"/>
        </w:rPr>
      </w:pPr>
      <w:r>
        <w:rPr>
          <w:rFonts w:hint="eastAsia" w:ascii="宋体" w:hAnsi="宋体"/>
          <w:color w:val="auto"/>
          <w:kern w:val="0"/>
          <w:sz w:val="22"/>
          <w:szCs w:val="22"/>
          <w:highlight w:val="none"/>
        </w:rPr>
        <w:t>电话：</w:t>
      </w:r>
      <w:r>
        <w:rPr>
          <w:rFonts w:hint="eastAsia" w:ascii="宋体" w:hAnsi="宋体"/>
          <w:color w:val="auto"/>
          <w:kern w:val="0"/>
          <w:sz w:val="22"/>
          <w:szCs w:val="22"/>
          <w:highlight w:val="none"/>
          <w:u w:val="single"/>
        </w:rPr>
        <w:t xml:space="preserve">                          </w:t>
      </w:r>
      <w:r>
        <w:rPr>
          <w:rFonts w:hint="eastAsia" w:ascii="宋体" w:hAnsi="宋体"/>
          <w:color w:val="auto"/>
          <w:kern w:val="0"/>
          <w:sz w:val="22"/>
          <w:szCs w:val="22"/>
          <w:highlight w:val="none"/>
        </w:rPr>
        <w:t xml:space="preserve">  传真：</w:t>
      </w:r>
      <w:r>
        <w:rPr>
          <w:rFonts w:hint="eastAsia" w:ascii="宋体" w:hAnsi="宋体"/>
          <w:color w:val="auto"/>
          <w:kern w:val="0"/>
          <w:sz w:val="22"/>
          <w:szCs w:val="22"/>
          <w:highlight w:val="none"/>
          <w:u w:val="single"/>
          <w:lang w:val="en-US" w:eastAsia="zh-CN"/>
        </w:rPr>
        <w:t xml:space="preserve">                           </w:t>
      </w:r>
    </w:p>
    <w:p w14:paraId="4475CECC">
      <w:pPr>
        <w:spacing w:line="480" w:lineRule="auto"/>
        <w:rPr>
          <w:rFonts w:ascii="宋体" w:hAnsi="宋体"/>
          <w:color w:val="auto"/>
          <w:kern w:val="0"/>
          <w:sz w:val="22"/>
          <w:szCs w:val="22"/>
          <w:highlight w:val="none"/>
        </w:rPr>
      </w:pPr>
      <w:r>
        <w:rPr>
          <w:rFonts w:hint="eastAsia" w:ascii="宋体" w:hAnsi="宋体"/>
          <w:color w:val="auto"/>
          <w:kern w:val="0"/>
          <w:sz w:val="22"/>
          <w:szCs w:val="22"/>
          <w:highlight w:val="none"/>
        </w:rPr>
        <w:t>法定代表人：</w:t>
      </w:r>
      <w:r>
        <w:rPr>
          <w:rFonts w:hint="eastAsia" w:ascii="宋体" w:hAnsi="宋体"/>
          <w:color w:val="auto"/>
          <w:kern w:val="0"/>
          <w:sz w:val="22"/>
          <w:szCs w:val="22"/>
          <w:highlight w:val="none"/>
          <w:u w:val="single"/>
        </w:rPr>
        <w:t xml:space="preserve">                                 </w:t>
      </w:r>
      <w:r>
        <w:rPr>
          <w:rFonts w:hint="eastAsia" w:ascii="宋体" w:hAnsi="宋体"/>
          <w:color w:val="auto"/>
          <w:kern w:val="0"/>
          <w:sz w:val="22"/>
          <w:szCs w:val="22"/>
          <w:highlight w:val="none"/>
        </w:rPr>
        <w:t>（签字或盖章）</w:t>
      </w:r>
    </w:p>
    <w:p w14:paraId="696E9215">
      <w:pPr>
        <w:spacing w:line="480" w:lineRule="auto"/>
        <w:rPr>
          <w:rFonts w:ascii="宋体" w:hAnsi="宋体"/>
          <w:color w:val="auto"/>
          <w:kern w:val="0"/>
          <w:sz w:val="22"/>
          <w:szCs w:val="22"/>
          <w:highlight w:val="none"/>
        </w:rPr>
      </w:pPr>
      <w:r>
        <w:rPr>
          <w:rFonts w:hint="eastAsia" w:ascii="宋体" w:hAnsi="宋体"/>
          <w:color w:val="auto"/>
          <w:kern w:val="0"/>
          <w:sz w:val="22"/>
          <w:szCs w:val="22"/>
          <w:highlight w:val="none"/>
        </w:rPr>
        <w:t>投标人全称：</w:t>
      </w:r>
      <w:r>
        <w:rPr>
          <w:rFonts w:hint="eastAsia" w:ascii="宋体" w:hAnsi="宋体"/>
          <w:color w:val="auto"/>
          <w:kern w:val="0"/>
          <w:sz w:val="22"/>
          <w:szCs w:val="22"/>
          <w:highlight w:val="none"/>
          <w:u w:val="single"/>
        </w:rPr>
        <w:t xml:space="preserve">                                 </w:t>
      </w:r>
      <w:r>
        <w:rPr>
          <w:rFonts w:hint="eastAsia" w:ascii="宋体" w:hAnsi="宋体"/>
          <w:color w:val="auto"/>
          <w:kern w:val="0"/>
          <w:sz w:val="22"/>
          <w:szCs w:val="22"/>
          <w:highlight w:val="none"/>
        </w:rPr>
        <w:t>（投标人公章）</w:t>
      </w:r>
    </w:p>
    <w:p w14:paraId="4DB50A00">
      <w:pPr>
        <w:spacing w:line="500" w:lineRule="exact"/>
        <w:ind w:firstLine="4070" w:firstLineChars="1850"/>
        <w:rPr>
          <w:rFonts w:ascii="宋体" w:hAnsi="宋体"/>
          <w:color w:val="auto"/>
          <w:kern w:val="0"/>
          <w:sz w:val="22"/>
          <w:szCs w:val="22"/>
          <w:highlight w:val="none"/>
        </w:rPr>
      </w:pPr>
    </w:p>
    <w:p w14:paraId="39D32A29">
      <w:pPr>
        <w:spacing w:line="500" w:lineRule="exact"/>
        <w:ind w:firstLine="4070" w:firstLineChars="1850"/>
        <w:rPr>
          <w:rFonts w:ascii="宋体" w:hAnsi="宋体"/>
          <w:color w:val="auto"/>
          <w:kern w:val="0"/>
          <w:sz w:val="22"/>
          <w:szCs w:val="22"/>
          <w:highlight w:val="none"/>
        </w:rPr>
      </w:pPr>
    </w:p>
    <w:p w14:paraId="06C8AC45">
      <w:pPr>
        <w:widowControl/>
        <w:jc w:val="right"/>
        <w:rPr>
          <w:rFonts w:hint="eastAsia" w:ascii="宋体" w:hAnsi="宋体" w:eastAsia="宋体"/>
          <w:color w:val="auto"/>
          <w:sz w:val="28"/>
          <w:szCs w:val="28"/>
          <w:highlight w:val="none"/>
          <w:lang w:eastAsia="zh-CN"/>
        </w:rPr>
      </w:pP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lang w:val="en-US" w:eastAsia="zh-CN" w:bidi="ar"/>
        </w:rPr>
        <w:t>年</w:t>
      </w: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lang w:val="en-US" w:eastAsia="zh-CN" w:bidi="ar"/>
        </w:rPr>
        <w:t>月</w:t>
      </w: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lang w:val="en-US" w:eastAsia="zh-CN" w:bidi="ar"/>
        </w:rPr>
        <w:t>日</w:t>
      </w:r>
      <w:r>
        <w:rPr>
          <w:rFonts w:hint="eastAsia" w:ascii="宋体" w:hAnsi="宋体"/>
          <w:color w:val="auto"/>
          <w:sz w:val="28"/>
          <w:szCs w:val="28"/>
          <w:highlight w:val="none"/>
        </w:rPr>
        <w:br w:type="page"/>
      </w:r>
    </w:p>
    <w:p w14:paraId="11170AB6">
      <w:pPr>
        <w:jc w:val="center"/>
        <w:rPr>
          <w:rFonts w:ascii="宋体" w:hAnsi="宋体"/>
          <w:b/>
          <w:color w:val="auto"/>
          <w:sz w:val="36"/>
          <w:szCs w:val="36"/>
          <w:highlight w:val="none"/>
        </w:rPr>
      </w:pPr>
      <w:r>
        <w:rPr>
          <w:rFonts w:hint="eastAsia" w:ascii="宋体" w:hAnsi="宋体"/>
          <w:b/>
          <w:color w:val="auto"/>
          <w:sz w:val="36"/>
          <w:szCs w:val="36"/>
          <w:highlight w:val="none"/>
          <w:lang w:eastAsia="zh-CN"/>
        </w:rPr>
        <w:t>二、</w:t>
      </w:r>
      <w:r>
        <w:rPr>
          <w:rFonts w:hint="eastAsia" w:ascii="宋体" w:hAnsi="宋体"/>
          <w:b/>
          <w:color w:val="auto"/>
          <w:sz w:val="36"/>
          <w:szCs w:val="36"/>
          <w:highlight w:val="none"/>
        </w:rPr>
        <w:t>投  标  函</w:t>
      </w:r>
    </w:p>
    <w:p w14:paraId="28A9D252">
      <w:pPr>
        <w:spacing w:line="500" w:lineRule="exact"/>
        <w:ind w:firstLine="480" w:firstLineChars="200"/>
        <w:rPr>
          <w:rFonts w:ascii="宋体" w:hAnsi="宋体"/>
          <w:color w:val="auto"/>
          <w:sz w:val="24"/>
          <w:highlight w:val="none"/>
          <w:u w:val="single"/>
        </w:rPr>
      </w:pPr>
    </w:p>
    <w:p w14:paraId="233C3634">
      <w:pPr>
        <w:spacing w:line="500" w:lineRule="exact"/>
        <w:rPr>
          <w:rFonts w:ascii="宋体"/>
          <w:color w:val="auto"/>
          <w:sz w:val="22"/>
          <w:szCs w:val="22"/>
          <w:highlight w:val="none"/>
        </w:rPr>
      </w:pPr>
      <w:r>
        <w:rPr>
          <w:rFonts w:ascii="宋体" w:hAnsi="宋体"/>
          <w:color w:val="auto"/>
          <w:sz w:val="22"/>
          <w:szCs w:val="22"/>
          <w:highlight w:val="none"/>
          <w:u w:val="single"/>
        </w:rPr>
        <w:t xml:space="preserve">                        </w:t>
      </w:r>
      <w:r>
        <w:rPr>
          <w:rFonts w:ascii="宋体" w:hAnsi="宋体"/>
          <w:color w:val="auto"/>
          <w:sz w:val="22"/>
          <w:szCs w:val="22"/>
          <w:highlight w:val="none"/>
        </w:rPr>
        <w:t>（招标人名称）：</w:t>
      </w:r>
    </w:p>
    <w:p w14:paraId="6950F8FB">
      <w:pPr>
        <w:spacing w:line="500" w:lineRule="exact"/>
        <w:ind w:firstLine="440" w:firstLineChars="200"/>
        <w:rPr>
          <w:rFonts w:ascii="宋体"/>
          <w:color w:val="auto"/>
          <w:sz w:val="22"/>
          <w:szCs w:val="22"/>
          <w:highlight w:val="none"/>
        </w:rPr>
      </w:pPr>
      <w:r>
        <w:rPr>
          <w:rFonts w:ascii="宋体" w:hAnsi="宋体"/>
          <w:color w:val="auto"/>
          <w:sz w:val="22"/>
          <w:szCs w:val="22"/>
          <w:highlight w:val="none"/>
        </w:rPr>
        <w:t>1、我方已仔细研究了</w:t>
      </w:r>
      <w:r>
        <w:rPr>
          <w:rFonts w:ascii="宋体" w:hAnsi="宋体"/>
          <w:color w:val="auto"/>
          <w:sz w:val="22"/>
          <w:szCs w:val="22"/>
          <w:highlight w:val="none"/>
          <w:u w:val="single"/>
        </w:rPr>
        <w:t xml:space="preserve">           </w:t>
      </w:r>
      <w:r>
        <w:rPr>
          <w:rFonts w:hint="eastAsia" w:ascii="宋体" w:hAnsi="宋体"/>
          <w:color w:val="auto"/>
          <w:sz w:val="22"/>
          <w:szCs w:val="22"/>
          <w:highlight w:val="none"/>
          <w:u w:val="single"/>
          <w:lang w:val="en-US" w:eastAsia="zh-CN"/>
        </w:rPr>
        <w:t xml:space="preserve">    </w:t>
      </w:r>
      <w:r>
        <w:rPr>
          <w:rFonts w:ascii="宋体" w:hAnsi="宋体"/>
          <w:color w:val="auto"/>
          <w:sz w:val="22"/>
          <w:szCs w:val="22"/>
          <w:highlight w:val="none"/>
          <w:u w:val="single"/>
        </w:rPr>
        <w:t xml:space="preserve">    </w:t>
      </w:r>
      <w:r>
        <w:rPr>
          <w:rFonts w:ascii="宋体" w:hAnsi="宋体"/>
          <w:color w:val="auto"/>
          <w:sz w:val="22"/>
          <w:szCs w:val="22"/>
          <w:highlight w:val="none"/>
        </w:rPr>
        <w:t>（项目名称）招标文件的全部内容，愿意以</w:t>
      </w:r>
      <w:r>
        <w:rPr>
          <w:rFonts w:hint="eastAsia" w:ascii="宋体" w:hAnsi="宋体"/>
          <w:color w:val="auto"/>
          <w:sz w:val="22"/>
          <w:szCs w:val="22"/>
          <w:highlight w:val="none"/>
          <w:lang w:eastAsia="zh-CN"/>
        </w:rPr>
        <w:t>招标文件约定的</w:t>
      </w:r>
      <w:r>
        <w:rPr>
          <w:rFonts w:hint="eastAsia" w:ascii="宋体" w:hAnsi="宋体"/>
          <w:color w:val="auto"/>
          <w:sz w:val="22"/>
          <w:szCs w:val="22"/>
          <w:highlight w:val="none"/>
          <w:lang w:val="en-US" w:eastAsia="zh-CN"/>
        </w:rPr>
        <w:t>投标报价（大写）</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lang w:val="en-US" w:eastAsia="zh-CN"/>
        </w:rPr>
        <w:t>（小写：</w:t>
      </w:r>
      <w:r>
        <w:rPr>
          <w:rFonts w:hint="eastAsia" w:ascii="宋体" w:hAnsi="宋体"/>
          <w:color w:val="auto"/>
          <w:sz w:val="22"/>
          <w:szCs w:val="22"/>
          <w:highlight w:val="none"/>
          <w:u w:val="single"/>
          <w:lang w:val="en-US" w:eastAsia="zh-CN"/>
        </w:rPr>
        <w:t xml:space="preserve">              </w:t>
      </w:r>
      <w:r>
        <w:rPr>
          <w:rFonts w:hint="eastAsia" w:ascii="宋体" w:hAnsi="宋体"/>
          <w:color w:val="auto"/>
          <w:sz w:val="22"/>
          <w:szCs w:val="22"/>
          <w:highlight w:val="none"/>
          <w:lang w:val="en-US" w:eastAsia="zh-CN"/>
        </w:rPr>
        <w:t>）</w:t>
      </w:r>
      <w:r>
        <w:rPr>
          <w:rFonts w:ascii="宋体" w:hAnsi="宋体"/>
          <w:color w:val="auto"/>
          <w:sz w:val="22"/>
          <w:szCs w:val="22"/>
          <w:highlight w:val="none"/>
        </w:rPr>
        <w:t>承接</w:t>
      </w:r>
      <w:r>
        <w:rPr>
          <w:rFonts w:hint="eastAsia" w:ascii="宋体" w:hAnsi="宋体" w:cs="宋体"/>
          <w:color w:val="auto"/>
          <w:kern w:val="0"/>
          <w:sz w:val="22"/>
          <w:szCs w:val="22"/>
          <w:highlight w:val="none"/>
          <w:u w:val="none"/>
          <w:lang w:val="en-US" w:eastAsia="zh-CN"/>
        </w:rPr>
        <w:t>本项目所包含</w:t>
      </w:r>
      <w:r>
        <w:rPr>
          <w:rFonts w:ascii="宋体" w:hAnsi="宋体"/>
          <w:color w:val="auto"/>
          <w:sz w:val="22"/>
          <w:szCs w:val="22"/>
          <w:highlight w:val="none"/>
        </w:rPr>
        <w:t>的</w:t>
      </w:r>
      <w:r>
        <w:rPr>
          <w:rFonts w:hint="eastAsia" w:ascii="宋体" w:hAnsi="宋体"/>
          <w:color w:val="auto"/>
          <w:sz w:val="22"/>
          <w:szCs w:val="22"/>
          <w:highlight w:val="none"/>
          <w:lang w:val="en-US" w:eastAsia="zh-CN"/>
        </w:rPr>
        <w:t>所有</w:t>
      </w:r>
      <w:r>
        <w:rPr>
          <w:rFonts w:ascii="宋体" w:hAnsi="宋体"/>
          <w:color w:val="auto"/>
          <w:sz w:val="22"/>
          <w:szCs w:val="22"/>
          <w:highlight w:val="none"/>
        </w:rPr>
        <w:t>工作。</w:t>
      </w:r>
    </w:p>
    <w:p w14:paraId="5C248EE3">
      <w:pPr>
        <w:spacing w:line="500" w:lineRule="exact"/>
        <w:ind w:firstLine="440" w:firstLineChars="200"/>
        <w:rPr>
          <w:rFonts w:ascii="宋体"/>
          <w:color w:val="auto"/>
          <w:kern w:val="0"/>
          <w:sz w:val="22"/>
          <w:szCs w:val="22"/>
          <w:highlight w:val="none"/>
        </w:rPr>
      </w:pPr>
      <w:r>
        <w:rPr>
          <w:rFonts w:ascii="宋体" w:hAnsi="宋体"/>
          <w:color w:val="auto"/>
          <w:kern w:val="0"/>
          <w:sz w:val="22"/>
          <w:szCs w:val="22"/>
          <w:highlight w:val="none"/>
        </w:rPr>
        <w:t>2、我方承诺在投标有效期内不修改、撤销投标文件。</w:t>
      </w:r>
    </w:p>
    <w:p w14:paraId="4D11A6CC">
      <w:pPr>
        <w:spacing w:line="500" w:lineRule="exact"/>
        <w:ind w:firstLine="440" w:firstLineChars="200"/>
        <w:rPr>
          <w:rFonts w:ascii="宋体" w:hAnsi="宋体"/>
          <w:color w:val="auto"/>
          <w:kern w:val="0"/>
          <w:sz w:val="22"/>
          <w:szCs w:val="22"/>
          <w:highlight w:val="none"/>
        </w:rPr>
      </w:pPr>
      <w:r>
        <w:rPr>
          <w:rFonts w:ascii="宋体" w:hAnsi="宋体"/>
          <w:color w:val="auto"/>
          <w:kern w:val="0"/>
          <w:sz w:val="22"/>
          <w:szCs w:val="22"/>
          <w:highlight w:val="none"/>
        </w:rPr>
        <w:t xml:space="preserve">3、如我方中标：   </w:t>
      </w:r>
    </w:p>
    <w:p w14:paraId="3EF8EC8B">
      <w:pPr>
        <w:spacing w:line="500" w:lineRule="exact"/>
        <w:ind w:left="479" w:leftChars="228"/>
        <w:rPr>
          <w:rFonts w:ascii="宋体" w:hAnsi="宋体"/>
          <w:color w:val="auto"/>
          <w:kern w:val="0"/>
          <w:sz w:val="22"/>
          <w:szCs w:val="22"/>
          <w:highlight w:val="none"/>
        </w:rPr>
      </w:pPr>
      <w:r>
        <w:rPr>
          <w:rFonts w:ascii="宋体" w:hAnsi="宋体"/>
          <w:color w:val="auto"/>
          <w:kern w:val="0"/>
          <w:sz w:val="22"/>
          <w:szCs w:val="22"/>
          <w:highlight w:val="none"/>
        </w:rPr>
        <w:t>（1）我方承诺在收到中标通知书后，在中标通知书规定的期限内与你方签订合同</w:t>
      </w:r>
      <w:r>
        <w:rPr>
          <w:rFonts w:hint="eastAsia" w:ascii="宋体" w:hAnsi="宋体"/>
          <w:color w:val="auto"/>
          <w:kern w:val="0"/>
          <w:sz w:val="22"/>
          <w:szCs w:val="22"/>
          <w:highlight w:val="none"/>
          <w:lang w:eastAsia="zh-CN"/>
        </w:rPr>
        <w:t>；</w:t>
      </w:r>
      <w:r>
        <w:rPr>
          <w:rFonts w:ascii="宋体" w:hAnsi="宋体"/>
          <w:color w:val="auto"/>
          <w:kern w:val="0"/>
          <w:sz w:val="22"/>
          <w:szCs w:val="22"/>
          <w:highlight w:val="none"/>
        </w:rPr>
        <w:t xml:space="preserve">   </w:t>
      </w:r>
    </w:p>
    <w:p w14:paraId="2930FE83">
      <w:pPr>
        <w:spacing w:line="500" w:lineRule="exact"/>
        <w:ind w:left="479" w:leftChars="228"/>
        <w:rPr>
          <w:rFonts w:ascii="宋体" w:hAnsi="宋体"/>
          <w:color w:val="auto"/>
          <w:kern w:val="0"/>
          <w:sz w:val="22"/>
          <w:szCs w:val="22"/>
          <w:highlight w:val="none"/>
        </w:rPr>
      </w:pPr>
      <w:r>
        <w:rPr>
          <w:rFonts w:ascii="宋体" w:hAnsi="宋体"/>
          <w:color w:val="auto"/>
          <w:kern w:val="0"/>
          <w:sz w:val="22"/>
          <w:szCs w:val="22"/>
          <w:highlight w:val="none"/>
        </w:rPr>
        <w:t xml:space="preserve">（2）我方承诺按照招标文件规定向你方递交履约保证金。    </w:t>
      </w:r>
    </w:p>
    <w:p w14:paraId="32E7BA8C">
      <w:pPr>
        <w:spacing w:line="500" w:lineRule="exact"/>
        <w:ind w:left="479" w:leftChars="228"/>
        <w:rPr>
          <w:rFonts w:ascii="宋体"/>
          <w:color w:val="auto"/>
          <w:sz w:val="22"/>
          <w:szCs w:val="22"/>
          <w:highlight w:val="none"/>
        </w:rPr>
      </w:pPr>
      <w:r>
        <w:rPr>
          <w:rFonts w:ascii="宋体" w:hAnsi="宋体"/>
          <w:color w:val="auto"/>
          <w:kern w:val="0"/>
          <w:sz w:val="22"/>
          <w:szCs w:val="22"/>
          <w:highlight w:val="none"/>
        </w:rPr>
        <w:t>4、我方在此声明，所递交的投标文件及有关资料内容完整、真实和准确。</w:t>
      </w:r>
    </w:p>
    <w:p w14:paraId="626B4657">
      <w:pPr>
        <w:spacing w:line="500" w:lineRule="exact"/>
        <w:ind w:left="479" w:leftChars="228"/>
        <w:rPr>
          <w:rFonts w:ascii="宋体"/>
          <w:color w:val="auto"/>
          <w:kern w:val="0"/>
          <w:sz w:val="22"/>
          <w:szCs w:val="22"/>
          <w:highlight w:val="none"/>
        </w:rPr>
      </w:pPr>
      <w:r>
        <w:rPr>
          <w:rFonts w:ascii="宋体" w:hAnsi="宋体"/>
          <w:color w:val="auto"/>
          <w:kern w:val="0"/>
          <w:sz w:val="22"/>
          <w:szCs w:val="22"/>
          <w:highlight w:val="none"/>
        </w:rPr>
        <w:t>5、</w:t>
      </w:r>
      <w:r>
        <w:rPr>
          <w:rFonts w:ascii="宋体" w:hAnsi="宋体"/>
          <w:color w:val="auto"/>
          <w:sz w:val="22"/>
          <w:szCs w:val="22"/>
          <w:highlight w:val="none"/>
          <w:u w:val="single"/>
        </w:rPr>
        <w:t xml:space="preserve">                                    </w:t>
      </w:r>
      <w:r>
        <w:rPr>
          <w:rFonts w:ascii="宋体" w:hAnsi="宋体"/>
          <w:color w:val="auto"/>
          <w:kern w:val="0"/>
          <w:sz w:val="22"/>
          <w:szCs w:val="22"/>
          <w:highlight w:val="none"/>
        </w:rPr>
        <w:t>（其他补充说明）。</w:t>
      </w:r>
    </w:p>
    <w:p w14:paraId="47615524">
      <w:pPr>
        <w:spacing w:line="500" w:lineRule="exact"/>
        <w:ind w:firstLine="510"/>
        <w:rPr>
          <w:rFonts w:ascii="宋体" w:hAnsi="宋体"/>
          <w:color w:val="auto"/>
          <w:kern w:val="0"/>
          <w:sz w:val="22"/>
          <w:szCs w:val="22"/>
          <w:highlight w:val="none"/>
        </w:rPr>
      </w:pPr>
    </w:p>
    <w:p w14:paraId="7974D132">
      <w:pPr>
        <w:spacing w:line="500" w:lineRule="exact"/>
        <w:ind w:firstLine="510"/>
        <w:rPr>
          <w:rFonts w:ascii="宋体" w:hAnsi="宋体"/>
          <w:color w:val="auto"/>
          <w:kern w:val="0"/>
          <w:sz w:val="22"/>
          <w:szCs w:val="22"/>
          <w:highlight w:val="none"/>
        </w:rPr>
      </w:pPr>
      <w:r>
        <w:rPr>
          <w:rFonts w:hint="eastAsia" w:ascii="宋体" w:hAnsi="宋体"/>
          <w:color w:val="auto"/>
          <w:kern w:val="0"/>
          <w:sz w:val="22"/>
          <w:szCs w:val="22"/>
          <w:highlight w:val="none"/>
        </w:rPr>
        <w:t>投标人：</w:t>
      </w:r>
      <w:r>
        <w:rPr>
          <w:rFonts w:hint="eastAsia" w:ascii="宋体" w:hAnsi="宋体"/>
          <w:color w:val="auto"/>
          <w:kern w:val="0"/>
          <w:sz w:val="22"/>
          <w:szCs w:val="22"/>
          <w:highlight w:val="none"/>
          <w:u w:val="single"/>
        </w:rPr>
        <w:t xml:space="preserve">           </w:t>
      </w:r>
      <w:r>
        <w:rPr>
          <w:rFonts w:hint="eastAsia" w:ascii="宋体" w:hAnsi="宋体"/>
          <w:color w:val="auto"/>
          <w:kern w:val="0"/>
          <w:sz w:val="22"/>
          <w:szCs w:val="22"/>
          <w:highlight w:val="none"/>
          <w:u w:val="single"/>
          <w:lang w:val="en-US" w:eastAsia="zh-CN"/>
        </w:rPr>
        <w:t xml:space="preserve">                </w:t>
      </w:r>
      <w:r>
        <w:rPr>
          <w:rFonts w:hint="eastAsia" w:ascii="宋体" w:hAnsi="宋体"/>
          <w:color w:val="auto"/>
          <w:kern w:val="0"/>
          <w:sz w:val="22"/>
          <w:szCs w:val="22"/>
          <w:highlight w:val="none"/>
        </w:rPr>
        <w:t>（</w:t>
      </w:r>
      <w:r>
        <w:rPr>
          <w:rFonts w:hint="eastAsia" w:ascii="宋体" w:hAnsi="宋体" w:eastAsia="宋体" w:cs="宋体"/>
          <w:color w:val="auto"/>
          <w:kern w:val="0"/>
          <w:sz w:val="22"/>
          <w:szCs w:val="22"/>
          <w:highlight w:val="none"/>
          <w:lang w:val="en-US" w:eastAsia="zh-CN" w:bidi="ar"/>
        </w:rPr>
        <w:t>盖投标人公章</w:t>
      </w:r>
      <w:r>
        <w:rPr>
          <w:rFonts w:hint="eastAsia" w:ascii="宋体" w:hAnsi="宋体"/>
          <w:color w:val="auto"/>
          <w:kern w:val="0"/>
          <w:sz w:val="22"/>
          <w:szCs w:val="22"/>
          <w:highlight w:val="none"/>
        </w:rPr>
        <w:t>）</w:t>
      </w:r>
    </w:p>
    <w:p w14:paraId="2512E2E3">
      <w:pPr>
        <w:spacing w:line="500" w:lineRule="exact"/>
        <w:ind w:firstLine="510"/>
        <w:rPr>
          <w:rFonts w:ascii="宋体" w:hAnsi="宋体"/>
          <w:color w:val="auto"/>
          <w:kern w:val="0"/>
          <w:sz w:val="22"/>
          <w:szCs w:val="22"/>
          <w:highlight w:val="none"/>
          <w:u w:val="single"/>
        </w:rPr>
      </w:pPr>
      <w:r>
        <w:rPr>
          <w:rFonts w:hint="eastAsia" w:ascii="宋体" w:hAnsi="宋体"/>
          <w:color w:val="auto"/>
          <w:kern w:val="0"/>
          <w:sz w:val="22"/>
          <w:szCs w:val="22"/>
          <w:highlight w:val="none"/>
        </w:rPr>
        <w:t>单位地址：</w:t>
      </w:r>
      <w:r>
        <w:rPr>
          <w:rFonts w:hint="eastAsia" w:ascii="宋体" w:hAnsi="宋体"/>
          <w:color w:val="auto"/>
          <w:kern w:val="0"/>
          <w:sz w:val="22"/>
          <w:szCs w:val="22"/>
          <w:highlight w:val="none"/>
          <w:u w:val="single"/>
        </w:rPr>
        <w:t xml:space="preserve">               </w:t>
      </w:r>
      <w:r>
        <w:rPr>
          <w:rFonts w:hint="eastAsia" w:ascii="宋体" w:hAnsi="宋体"/>
          <w:color w:val="auto"/>
          <w:kern w:val="0"/>
          <w:sz w:val="22"/>
          <w:szCs w:val="22"/>
          <w:highlight w:val="none"/>
          <w:u w:val="single"/>
          <w:lang w:val="en-US" w:eastAsia="zh-CN"/>
        </w:rPr>
        <w:t xml:space="preserve">                    </w:t>
      </w:r>
      <w:r>
        <w:rPr>
          <w:rFonts w:hint="eastAsia" w:ascii="宋体" w:hAnsi="宋体"/>
          <w:color w:val="auto"/>
          <w:kern w:val="0"/>
          <w:sz w:val="22"/>
          <w:szCs w:val="22"/>
          <w:highlight w:val="none"/>
          <w:u w:val="single"/>
        </w:rPr>
        <w:t xml:space="preserve">     </w:t>
      </w:r>
    </w:p>
    <w:p w14:paraId="4A9F7AFF">
      <w:pPr>
        <w:spacing w:line="500" w:lineRule="exact"/>
        <w:ind w:firstLine="510"/>
        <w:rPr>
          <w:rFonts w:ascii="宋体" w:hAnsi="宋体"/>
          <w:color w:val="auto"/>
          <w:kern w:val="0"/>
          <w:sz w:val="22"/>
          <w:szCs w:val="22"/>
          <w:highlight w:val="none"/>
        </w:rPr>
      </w:pPr>
      <w:r>
        <w:rPr>
          <w:rFonts w:hint="eastAsia" w:ascii="宋体" w:hAnsi="宋体"/>
          <w:color w:val="auto"/>
          <w:kern w:val="0"/>
          <w:sz w:val="22"/>
          <w:szCs w:val="22"/>
          <w:highlight w:val="none"/>
        </w:rPr>
        <w:t>法定代表人：</w:t>
      </w:r>
      <w:r>
        <w:rPr>
          <w:rFonts w:hint="eastAsia" w:ascii="宋体" w:hAnsi="宋体"/>
          <w:color w:val="auto"/>
          <w:kern w:val="0"/>
          <w:sz w:val="22"/>
          <w:szCs w:val="22"/>
          <w:highlight w:val="none"/>
          <w:u w:val="single"/>
        </w:rPr>
        <w:t xml:space="preserve">            </w:t>
      </w:r>
      <w:r>
        <w:rPr>
          <w:rFonts w:hint="eastAsia" w:ascii="宋体" w:hAnsi="宋体"/>
          <w:color w:val="auto"/>
          <w:kern w:val="0"/>
          <w:sz w:val="22"/>
          <w:szCs w:val="22"/>
          <w:highlight w:val="none"/>
          <w:u w:val="single"/>
          <w:lang w:val="en-US" w:eastAsia="zh-CN"/>
        </w:rPr>
        <w:t xml:space="preserve">   </w:t>
      </w:r>
      <w:r>
        <w:rPr>
          <w:rFonts w:hint="eastAsia" w:ascii="宋体" w:hAnsi="宋体"/>
          <w:color w:val="auto"/>
          <w:kern w:val="0"/>
          <w:sz w:val="22"/>
          <w:szCs w:val="22"/>
          <w:highlight w:val="none"/>
          <w:u w:val="single"/>
        </w:rPr>
        <w:t xml:space="preserve">  </w:t>
      </w:r>
      <w:r>
        <w:rPr>
          <w:rFonts w:hint="eastAsia" w:ascii="宋体" w:hAnsi="宋体"/>
          <w:color w:val="auto"/>
          <w:kern w:val="0"/>
          <w:sz w:val="22"/>
          <w:szCs w:val="22"/>
          <w:highlight w:val="none"/>
          <w:u w:val="single"/>
          <w:lang w:val="en-US" w:eastAsia="zh-CN"/>
        </w:rPr>
        <w:t xml:space="preserve">      </w:t>
      </w:r>
      <w:r>
        <w:rPr>
          <w:rFonts w:hint="eastAsia" w:ascii="宋体" w:hAnsi="宋体"/>
          <w:color w:val="auto"/>
          <w:kern w:val="0"/>
          <w:sz w:val="22"/>
          <w:szCs w:val="22"/>
          <w:highlight w:val="none"/>
          <w:u w:val="single"/>
        </w:rPr>
        <w:t xml:space="preserve">  </w:t>
      </w:r>
      <w:r>
        <w:rPr>
          <w:rFonts w:hint="eastAsia" w:ascii="宋体" w:hAnsi="宋体"/>
          <w:color w:val="auto"/>
          <w:kern w:val="0"/>
          <w:sz w:val="22"/>
          <w:szCs w:val="22"/>
          <w:highlight w:val="none"/>
        </w:rPr>
        <w:t xml:space="preserve">（签字或盖章）                 </w:t>
      </w:r>
    </w:p>
    <w:p w14:paraId="58C72F49">
      <w:pPr>
        <w:spacing w:line="500" w:lineRule="exact"/>
        <w:ind w:firstLine="510"/>
        <w:rPr>
          <w:rFonts w:ascii="宋体" w:hAnsi="宋体"/>
          <w:color w:val="auto"/>
          <w:kern w:val="0"/>
          <w:sz w:val="22"/>
          <w:szCs w:val="22"/>
          <w:highlight w:val="none"/>
          <w:u w:val="single"/>
        </w:rPr>
      </w:pPr>
      <w:r>
        <w:rPr>
          <w:rFonts w:hint="eastAsia" w:ascii="宋体" w:hAnsi="宋体"/>
          <w:color w:val="auto"/>
          <w:kern w:val="0"/>
          <w:sz w:val="22"/>
          <w:szCs w:val="22"/>
          <w:highlight w:val="none"/>
        </w:rPr>
        <w:t>电    话：</w:t>
      </w:r>
      <w:r>
        <w:rPr>
          <w:rFonts w:hint="eastAsia" w:ascii="宋体" w:hAnsi="宋体"/>
          <w:color w:val="auto"/>
          <w:kern w:val="0"/>
          <w:sz w:val="22"/>
          <w:szCs w:val="22"/>
          <w:highlight w:val="none"/>
          <w:u w:val="single"/>
        </w:rPr>
        <w:t xml:space="preserve">       </w:t>
      </w:r>
      <w:r>
        <w:rPr>
          <w:rFonts w:hint="eastAsia" w:ascii="宋体" w:hAnsi="宋体"/>
          <w:color w:val="auto"/>
          <w:kern w:val="0"/>
          <w:sz w:val="22"/>
          <w:szCs w:val="22"/>
          <w:highlight w:val="none"/>
          <w:u w:val="single"/>
          <w:lang w:val="en-US" w:eastAsia="zh-CN"/>
        </w:rPr>
        <w:t xml:space="preserve"> </w:t>
      </w:r>
      <w:r>
        <w:rPr>
          <w:rFonts w:hint="eastAsia" w:ascii="宋体" w:hAnsi="宋体"/>
          <w:color w:val="auto"/>
          <w:kern w:val="0"/>
          <w:sz w:val="22"/>
          <w:szCs w:val="22"/>
          <w:highlight w:val="none"/>
          <w:u w:val="single"/>
        </w:rPr>
        <w:t xml:space="preserve">  </w:t>
      </w:r>
      <w:r>
        <w:rPr>
          <w:rFonts w:hint="eastAsia" w:ascii="宋体" w:hAnsi="宋体"/>
          <w:color w:val="auto"/>
          <w:kern w:val="0"/>
          <w:sz w:val="22"/>
          <w:szCs w:val="22"/>
          <w:highlight w:val="none"/>
          <w:u w:val="single"/>
          <w:lang w:val="en-US" w:eastAsia="zh-CN"/>
        </w:rPr>
        <w:t xml:space="preserve"> </w:t>
      </w:r>
      <w:r>
        <w:rPr>
          <w:rFonts w:hint="eastAsia" w:ascii="宋体" w:hAnsi="宋体"/>
          <w:color w:val="auto"/>
          <w:kern w:val="0"/>
          <w:sz w:val="22"/>
          <w:szCs w:val="22"/>
          <w:highlight w:val="none"/>
          <w:u w:val="single"/>
        </w:rPr>
        <w:t xml:space="preserve">   </w:t>
      </w:r>
      <w:r>
        <w:rPr>
          <w:rFonts w:hint="eastAsia" w:ascii="宋体" w:hAnsi="宋体"/>
          <w:color w:val="auto"/>
          <w:kern w:val="0"/>
          <w:sz w:val="22"/>
          <w:szCs w:val="22"/>
          <w:highlight w:val="none"/>
        </w:rPr>
        <w:t xml:space="preserve">  传    真：</w:t>
      </w:r>
      <w:r>
        <w:rPr>
          <w:rFonts w:hint="eastAsia" w:ascii="宋体" w:hAnsi="宋体"/>
          <w:color w:val="auto"/>
          <w:kern w:val="0"/>
          <w:sz w:val="22"/>
          <w:szCs w:val="22"/>
          <w:highlight w:val="none"/>
          <w:u w:val="single"/>
        </w:rPr>
        <w:t xml:space="preserve">      </w:t>
      </w:r>
      <w:r>
        <w:rPr>
          <w:rFonts w:hint="eastAsia" w:ascii="宋体" w:hAnsi="宋体"/>
          <w:color w:val="auto"/>
          <w:kern w:val="0"/>
          <w:sz w:val="22"/>
          <w:szCs w:val="22"/>
          <w:highlight w:val="none"/>
          <w:u w:val="single"/>
          <w:lang w:val="en-US" w:eastAsia="zh-CN"/>
        </w:rPr>
        <w:t xml:space="preserve"> </w:t>
      </w:r>
      <w:r>
        <w:rPr>
          <w:rFonts w:hint="eastAsia" w:ascii="宋体" w:hAnsi="宋体"/>
          <w:color w:val="auto"/>
          <w:kern w:val="0"/>
          <w:sz w:val="22"/>
          <w:szCs w:val="22"/>
          <w:highlight w:val="none"/>
          <w:u w:val="single"/>
        </w:rPr>
        <w:t xml:space="preserve"> </w:t>
      </w:r>
      <w:r>
        <w:rPr>
          <w:rFonts w:hint="eastAsia" w:ascii="宋体" w:hAnsi="宋体"/>
          <w:color w:val="auto"/>
          <w:kern w:val="0"/>
          <w:sz w:val="22"/>
          <w:szCs w:val="22"/>
          <w:highlight w:val="none"/>
          <w:u w:val="single"/>
          <w:lang w:val="en-US" w:eastAsia="zh-CN"/>
        </w:rPr>
        <w:t xml:space="preserve">   </w:t>
      </w:r>
      <w:r>
        <w:rPr>
          <w:rFonts w:hint="eastAsia" w:ascii="宋体" w:hAnsi="宋体"/>
          <w:color w:val="auto"/>
          <w:kern w:val="0"/>
          <w:sz w:val="22"/>
          <w:szCs w:val="22"/>
          <w:highlight w:val="none"/>
          <w:u w:val="single"/>
        </w:rPr>
        <w:t xml:space="preserve">   </w:t>
      </w:r>
    </w:p>
    <w:p w14:paraId="206FD754">
      <w:pPr>
        <w:spacing w:line="500" w:lineRule="exact"/>
        <w:ind w:firstLine="510"/>
        <w:rPr>
          <w:rFonts w:ascii="宋体" w:hAnsi="宋体"/>
          <w:color w:val="auto"/>
          <w:kern w:val="0"/>
          <w:sz w:val="22"/>
          <w:szCs w:val="22"/>
          <w:highlight w:val="none"/>
          <w:u w:val="single"/>
        </w:rPr>
      </w:pPr>
      <w:r>
        <w:rPr>
          <w:rFonts w:hint="eastAsia" w:ascii="宋体" w:hAnsi="宋体"/>
          <w:color w:val="auto"/>
          <w:kern w:val="0"/>
          <w:sz w:val="22"/>
          <w:szCs w:val="22"/>
          <w:highlight w:val="none"/>
        </w:rPr>
        <w:t>开户银行名称：</w:t>
      </w:r>
      <w:r>
        <w:rPr>
          <w:rFonts w:hint="eastAsia" w:ascii="宋体" w:hAnsi="宋体"/>
          <w:color w:val="auto"/>
          <w:kern w:val="0"/>
          <w:sz w:val="22"/>
          <w:szCs w:val="22"/>
          <w:highlight w:val="none"/>
          <w:u w:val="single"/>
        </w:rPr>
        <w:t xml:space="preserve">       </w:t>
      </w:r>
      <w:r>
        <w:rPr>
          <w:rFonts w:hint="eastAsia" w:ascii="宋体" w:hAnsi="宋体"/>
          <w:color w:val="auto"/>
          <w:kern w:val="0"/>
          <w:sz w:val="22"/>
          <w:szCs w:val="22"/>
          <w:highlight w:val="none"/>
          <w:u w:val="single"/>
          <w:lang w:val="en-US" w:eastAsia="zh-CN"/>
        </w:rPr>
        <w:t xml:space="preserve">         </w:t>
      </w:r>
      <w:r>
        <w:rPr>
          <w:rFonts w:hint="eastAsia" w:ascii="宋体" w:hAnsi="宋体"/>
          <w:color w:val="auto"/>
          <w:kern w:val="0"/>
          <w:sz w:val="22"/>
          <w:szCs w:val="22"/>
          <w:highlight w:val="none"/>
          <w:u w:val="single"/>
        </w:rPr>
        <w:t xml:space="preserve">                    </w:t>
      </w:r>
    </w:p>
    <w:p w14:paraId="0D544687">
      <w:pPr>
        <w:spacing w:line="500" w:lineRule="exact"/>
        <w:ind w:firstLine="510"/>
        <w:rPr>
          <w:rFonts w:ascii="宋体" w:hAnsi="宋体"/>
          <w:color w:val="auto"/>
          <w:kern w:val="0"/>
          <w:sz w:val="22"/>
          <w:szCs w:val="22"/>
          <w:highlight w:val="none"/>
          <w:u w:val="single"/>
        </w:rPr>
      </w:pPr>
      <w:r>
        <w:rPr>
          <w:rFonts w:hint="eastAsia" w:ascii="宋体" w:hAnsi="宋体"/>
          <w:color w:val="auto"/>
          <w:kern w:val="0"/>
          <w:sz w:val="22"/>
          <w:szCs w:val="22"/>
          <w:highlight w:val="none"/>
        </w:rPr>
        <w:t>银行帐号：</w:t>
      </w:r>
      <w:r>
        <w:rPr>
          <w:rFonts w:hint="eastAsia" w:ascii="宋体" w:hAnsi="宋体"/>
          <w:color w:val="auto"/>
          <w:kern w:val="0"/>
          <w:sz w:val="22"/>
          <w:szCs w:val="22"/>
          <w:highlight w:val="none"/>
          <w:u w:val="single"/>
        </w:rPr>
        <w:t xml:space="preserve">           </w:t>
      </w:r>
      <w:r>
        <w:rPr>
          <w:rFonts w:hint="eastAsia" w:ascii="宋体" w:hAnsi="宋体"/>
          <w:color w:val="auto"/>
          <w:kern w:val="0"/>
          <w:sz w:val="22"/>
          <w:szCs w:val="22"/>
          <w:highlight w:val="none"/>
          <w:u w:val="single"/>
          <w:lang w:val="en-US" w:eastAsia="zh-CN"/>
        </w:rPr>
        <w:t xml:space="preserve">                       </w:t>
      </w:r>
      <w:r>
        <w:rPr>
          <w:rFonts w:hint="eastAsia" w:ascii="宋体" w:hAnsi="宋体"/>
          <w:color w:val="auto"/>
          <w:kern w:val="0"/>
          <w:sz w:val="22"/>
          <w:szCs w:val="22"/>
          <w:highlight w:val="none"/>
          <w:u w:val="single"/>
        </w:rPr>
        <w:t xml:space="preserve">      </w:t>
      </w:r>
    </w:p>
    <w:p w14:paraId="15A9B18B">
      <w:pPr>
        <w:spacing w:line="500" w:lineRule="exact"/>
        <w:ind w:firstLine="510"/>
        <w:rPr>
          <w:rFonts w:hint="eastAsia" w:ascii="宋体" w:hAnsi="宋体"/>
          <w:color w:val="auto"/>
          <w:kern w:val="0"/>
          <w:sz w:val="22"/>
          <w:szCs w:val="22"/>
          <w:highlight w:val="none"/>
          <w:lang w:val="en-US" w:eastAsia="zh-CN"/>
        </w:rPr>
      </w:pPr>
      <w:r>
        <w:rPr>
          <w:rFonts w:hint="eastAsia" w:ascii="宋体" w:hAnsi="宋体"/>
          <w:color w:val="auto"/>
          <w:kern w:val="0"/>
          <w:sz w:val="22"/>
          <w:szCs w:val="22"/>
          <w:highlight w:val="none"/>
        </w:rPr>
        <w:t>开户银行地址：</w:t>
      </w:r>
      <w:r>
        <w:rPr>
          <w:rFonts w:hint="eastAsia" w:ascii="宋体" w:hAnsi="宋体"/>
          <w:color w:val="auto"/>
          <w:kern w:val="0"/>
          <w:sz w:val="22"/>
          <w:szCs w:val="22"/>
          <w:highlight w:val="none"/>
          <w:u w:val="single"/>
        </w:rPr>
        <w:t xml:space="preserve">         </w:t>
      </w:r>
      <w:r>
        <w:rPr>
          <w:rFonts w:hint="eastAsia" w:ascii="宋体" w:hAnsi="宋体"/>
          <w:color w:val="auto"/>
          <w:kern w:val="0"/>
          <w:sz w:val="22"/>
          <w:szCs w:val="22"/>
          <w:highlight w:val="none"/>
          <w:u w:val="single"/>
          <w:lang w:val="en-US" w:eastAsia="zh-CN"/>
        </w:rPr>
        <w:t xml:space="preserve">                         </w:t>
      </w:r>
      <w:r>
        <w:rPr>
          <w:rFonts w:hint="eastAsia" w:ascii="宋体" w:hAnsi="宋体"/>
          <w:color w:val="auto"/>
          <w:kern w:val="0"/>
          <w:sz w:val="22"/>
          <w:szCs w:val="22"/>
          <w:highlight w:val="none"/>
          <w:u w:val="single"/>
        </w:rPr>
        <w:t xml:space="preserve">  </w:t>
      </w:r>
      <w:r>
        <w:rPr>
          <w:rFonts w:hint="eastAsia" w:ascii="宋体" w:hAnsi="宋体"/>
          <w:color w:val="auto"/>
          <w:kern w:val="0"/>
          <w:sz w:val="22"/>
          <w:szCs w:val="22"/>
          <w:highlight w:val="none"/>
        </w:rPr>
        <w:t xml:space="preserve"> </w:t>
      </w:r>
      <w:r>
        <w:rPr>
          <w:rFonts w:hint="eastAsia" w:ascii="宋体" w:hAnsi="宋体"/>
          <w:color w:val="auto"/>
          <w:kern w:val="0"/>
          <w:sz w:val="22"/>
          <w:szCs w:val="22"/>
          <w:highlight w:val="none"/>
          <w:lang w:val="en-US" w:eastAsia="zh-CN"/>
        </w:rPr>
        <w:t xml:space="preserve"> </w:t>
      </w:r>
    </w:p>
    <w:p w14:paraId="42FB5694">
      <w:pPr>
        <w:spacing w:line="500" w:lineRule="exact"/>
        <w:ind w:firstLine="510"/>
        <w:rPr>
          <w:rFonts w:ascii="宋体" w:hAnsi="宋体"/>
          <w:color w:val="auto"/>
          <w:kern w:val="0"/>
          <w:sz w:val="22"/>
          <w:szCs w:val="22"/>
          <w:highlight w:val="none"/>
          <w:u w:val="single"/>
        </w:rPr>
      </w:pPr>
      <w:r>
        <w:rPr>
          <w:rFonts w:hint="eastAsia" w:ascii="宋体" w:hAnsi="宋体"/>
          <w:color w:val="auto"/>
          <w:kern w:val="0"/>
          <w:sz w:val="22"/>
          <w:szCs w:val="22"/>
          <w:highlight w:val="none"/>
        </w:rPr>
        <w:t>电    话：</w:t>
      </w:r>
      <w:r>
        <w:rPr>
          <w:rFonts w:hint="eastAsia" w:ascii="宋体" w:hAnsi="宋体"/>
          <w:color w:val="auto"/>
          <w:kern w:val="0"/>
          <w:sz w:val="22"/>
          <w:szCs w:val="22"/>
          <w:highlight w:val="none"/>
          <w:u w:val="single"/>
        </w:rPr>
        <w:t xml:space="preserve">         </w:t>
      </w:r>
      <w:r>
        <w:rPr>
          <w:rFonts w:hint="eastAsia" w:ascii="宋体" w:hAnsi="宋体"/>
          <w:color w:val="auto"/>
          <w:kern w:val="0"/>
          <w:sz w:val="22"/>
          <w:szCs w:val="22"/>
          <w:highlight w:val="none"/>
          <w:u w:val="single"/>
          <w:lang w:val="en-US" w:eastAsia="zh-CN"/>
        </w:rPr>
        <w:t xml:space="preserve">  </w:t>
      </w:r>
      <w:r>
        <w:rPr>
          <w:rFonts w:hint="eastAsia" w:ascii="宋体" w:hAnsi="宋体"/>
          <w:color w:val="auto"/>
          <w:kern w:val="0"/>
          <w:sz w:val="22"/>
          <w:szCs w:val="22"/>
          <w:highlight w:val="none"/>
          <w:u w:val="single"/>
        </w:rPr>
        <w:t xml:space="preserve">    </w:t>
      </w:r>
    </w:p>
    <w:p w14:paraId="6FF7753E">
      <w:pPr>
        <w:spacing w:line="500" w:lineRule="exact"/>
        <w:ind w:firstLine="510"/>
        <w:rPr>
          <w:rFonts w:hint="eastAsia" w:ascii="宋体" w:hAnsi="宋体"/>
          <w:color w:val="auto"/>
          <w:kern w:val="0"/>
          <w:sz w:val="22"/>
          <w:szCs w:val="22"/>
          <w:highlight w:val="none"/>
        </w:rPr>
      </w:pPr>
      <w:r>
        <w:rPr>
          <w:rFonts w:hint="eastAsia" w:ascii="宋体" w:hAnsi="宋体"/>
          <w:color w:val="auto"/>
          <w:kern w:val="0"/>
          <w:sz w:val="22"/>
          <w:szCs w:val="22"/>
          <w:highlight w:val="none"/>
        </w:rPr>
        <w:t xml:space="preserve">                            </w:t>
      </w:r>
    </w:p>
    <w:p w14:paraId="7A6D680A">
      <w:pPr>
        <w:spacing w:line="500" w:lineRule="exact"/>
        <w:ind w:firstLine="2952" w:firstLineChars="1342"/>
        <w:jc w:val="both"/>
        <w:rPr>
          <w:rFonts w:ascii="宋体" w:hAnsi="宋体"/>
          <w:color w:val="auto"/>
          <w:kern w:val="0"/>
          <w:sz w:val="22"/>
          <w:szCs w:val="22"/>
          <w:highlight w:val="none"/>
        </w:rPr>
      </w:pPr>
      <w:r>
        <w:rPr>
          <w:rFonts w:hint="eastAsia" w:ascii="宋体" w:hAnsi="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lang w:val="en-US" w:eastAsia="zh-CN" w:bidi="ar"/>
        </w:rPr>
        <w:t>年</w:t>
      </w: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lang w:val="en-US" w:eastAsia="zh-CN" w:bidi="ar"/>
        </w:rPr>
        <w:t>月</w:t>
      </w: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lang w:val="en-US" w:eastAsia="zh-CN" w:bidi="ar"/>
        </w:rPr>
        <w:t>日</w:t>
      </w:r>
    </w:p>
    <w:p w14:paraId="2B4BC778">
      <w:pPr>
        <w:spacing w:line="500" w:lineRule="exact"/>
        <w:ind w:firstLine="510"/>
        <w:rPr>
          <w:rFonts w:ascii="宋体" w:hAnsi="宋体"/>
          <w:color w:val="auto"/>
          <w:kern w:val="0"/>
          <w:sz w:val="22"/>
          <w:szCs w:val="22"/>
          <w:highlight w:val="none"/>
        </w:rPr>
      </w:pPr>
    </w:p>
    <w:p w14:paraId="02AFAED7">
      <w:pPr>
        <w:pStyle w:val="5"/>
        <w:ind w:left="0" w:leftChars="0" w:firstLine="0" w:firstLineChars="0"/>
        <w:rPr>
          <w:rFonts w:hint="eastAsia" w:ascii="宋体" w:hAnsi="宋体" w:cs="宋体"/>
          <w:b/>
          <w:bCs/>
          <w:color w:val="auto"/>
          <w:sz w:val="24"/>
          <w:highlight w:val="none"/>
        </w:rPr>
      </w:pPr>
    </w:p>
    <w:p w14:paraId="3CA90FAD">
      <w:pPr>
        <w:pStyle w:val="5"/>
        <w:rPr>
          <w:rFonts w:hint="eastAsia" w:ascii="宋体" w:hAnsi="宋体" w:cs="宋体"/>
          <w:b/>
          <w:bCs/>
          <w:color w:val="auto"/>
          <w:sz w:val="24"/>
          <w:highlight w:val="none"/>
        </w:rPr>
      </w:pPr>
    </w:p>
    <w:p w14:paraId="1A8575BA">
      <w:pPr>
        <w:rPr>
          <w:rFonts w:hint="eastAsia" w:ascii="宋体" w:hAnsi="宋体" w:cs="宋体"/>
          <w:b/>
          <w:bCs/>
          <w:color w:val="auto"/>
          <w:sz w:val="24"/>
          <w:highlight w:val="none"/>
        </w:rPr>
      </w:pPr>
      <w:r>
        <w:rPr>
          <w:rFonts w:hint="eastAsia" w:ascii="宋体" w:hAnsi="宋体" w:cs="宋体"/>
          <w:b/>
          <w:bCs/>
          <w:color w:val="auto"/>
          <w:sz w:val="24"/>
          <w:highlight w:val="none"/>
        </w:rPr>
        <w:br w:type="page"/>
      </w:r>
    </w:p>
    <w:p w14:paraId="56B90DA3">
      <w:pPr>
        <w:pStyle w:val="5"/>
        <w:jc w:val="right"/>
        <w:rPr>
          <w:rFonts w:hint="eastAsia" w:ascii="宋体" w:hAnsi="宋体" w:cs="宋体"/>
          <w:b/>
          <w:bCs/>
          <w:color w:val="auto"/>
          <w:sz w:val="24"/>
          <w:highlight w:val="none"/>
        </w:rPr>
      </w:pPr>
    </w:p>
    <w:p w14:paraId="4A2762E0">
      <w:pPr>
        <w:jc w:val="center"/>
        <w:rPr>
          <w:rFonts w:hint="eastAsia" w:ascii="宋体" w:hAnsi="宋体" w:eastAsia="宋体" w:cs="宋体"/>
          <w:b/>
          <w:color w:val="auto"/>
          <w:sz w:val="36"/>
          <w:szCs w:val="36"/>
          <w:highlight w:val="none"/>
        </w:rPr>
      </w:pPr>
      <w:r>
        <w:rPr>
          <w:rFonts w:hint="eastAsia" w:ascii="宋体" w:hAnsi="宋体" w:cs="宋体"/>
          <w:b/>
          <w:color w:val="auto"/>
          <w:sz w:val="36"/>
          <w:szCs w:val="36"/>
          <w:highlight w:val="none"/>
          <w:lang w:val="en-US" w:eastAsia="zh-CN"/>
        </w:rPr>
        <w:t>三、</w:t>
      </w:r>
      <w:r>
        <w:rPr>
          <w:rFonts w:hint="eastAsia" w:ascii="宋体" w:hAnsi="宋体" w:eastAsia="宋体" w:cs="宋体"/>
          <w:b/>
          <w:color w:val="auto"/>
          <w:sz w:val="36"/>
          <w:szCs w:val="36"/>
          <w:highlight w:val="none"/>
          <w:lang w:val="en-US" w:eastAsia="zh-CN"/>
        </w:rPr>
        <w:t>总报价书</w:t>
      </w:r>
    </w:p>
    <w:p w14:paraId="02FA7856">
      <w:pPr>
        <w:pStyle w:val="5"/>
        <w:rPr>
          <w:rFonts w:hint="eastAsia" w:ascii="宋体" w:hAnsi="宋体" w:cs="宋体"/>
          <w:b/>
          <w:bCs/>
          <w:color w:val="auto"/>
          <w:sz w:val="24"/>
          <w:highlight w:val="none"/>
        </w:rPr>
      </w:pPr>
    </w:p>
    <w:tbl>
      <w:tblPr>
        <w:tblStyle w:val="23"/>
        <w:tblW w:w="8661" w:type="dxa"/>
        <w:tblInd w:w="0" w:type="dxa"/>
        <w:tblLayout w:type="fixed"/>
        <w:tblCellMar>
          <w:top w:w="0" w:type="dxa"/>
          <w:left w:w="108" w:type="dxa"/>
          <w:bottom w:w="0" w:type="dxa"/>
          <w:right w:w="108" w:type="dxa"/>
        </w:tblCellMar>
      </w:tblPr>
      <w:tblGrid>
        <w:gridCol w:w="1738"/>
        <w:gridCol w:w="6923"/>
      </w:tblGrid>
      <w:tr w14:paraId="4C401820">
        <w:tblPrEx>
          <w:tblCellMar>
            <w:top w:w="0" w:type="dxa"/>
            <w:left w:w="108" w:type="dxa"/>
            <w:bottom w:w="0" w:type="dxa"/>
            <w:right w:w="108" w:type="dxa"/>
          </w:tblCellMar>
        </w:tblPrEx>
        <w:trPr>
          <w:trHeight w:val="1104" w:hRule="atLeast"/>
        </w:trPr>
        <w:tc>
          <w:tcPr>
            <w:tcW w:w="8661" w:type="dxa"/>
            <w:gridSpan w:val="2"/>
            <w:tcBorders>
              <w:top w:val="single" w:color="auto" w:sz="4" w:space="0"/>
              <w:left w:val="single" w:color="auto" w:sz="4" w:space="0"/>
              <w:bottom w:val="single" w:color="auto" w:sz="4" w:space="0"/>
              <w:right w:val="single" w:color="auto" w:sz="4" w:space="0"/>
            </w:tcBorders>
            <w:noWrap w:val="0"/>
            <w:vAlign w:val="center"/>
          </w:tcPr>
          <w:p w14:paraId="40E87C3B">
            <w:pPr>
              <w:keepNext w:val="0"/>
              <w:keepLines w:val="0"/>
              <w:widowControl/>
              <w:suppressLineNumbers w:val="0"/>
              <w:spacing w:before="0" w:beforeAutospacing="0" w:after="0" w:afterAutospacing="0"/>
              <w:ind w:left="0" w:right="0" w:firstLine="220" w:firstLineChars="100"/>
              <w:jc w:val="left"/>
              <w:rPr>
                <w:rFonts w:hint="eastAsia" w:ascii="宋体" w:hAnsi="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投标单位：</w:t>
            </w:r>
          </w:p>
        </w:tc>
      </w:tr>
      <w:tr w14:paraId="1D365873">
        <w:tblPrEx>
          <w:tblCellMar>
            <w:top w:w="0" w:type="dxa"/>
            <w:left w:w="108" w:type="dxa"/>
            <w:bottom w:w="0" w:type="dxa"/>
            <w:right w:w="108" w:type="dxa"/>
          </w:tblCellMar>
        </w:tblPrEx>
        <w:trPr>
          <w:trHeight w:val="1266" w:hRule="atLeast"/>
        </w:trPr>
        <w:tc>
          <w:tcPr>
            <w:tcW w:w="1738" w:type="dxa"/>
            <w:tcBorders>
              <w:top w:val="single" w:color="auto" w:sz="4" w:space="0"/>
              <w:left w:val="single" w:color="auto" w:sz="4" w:space="0"/>
              <w:bottom w:val="single" w:color="auto" w:sz="4" w:space="0"/>
              <w:right w:val="single" w:color="auto" w:sz="4" w:space="0"/>
            </w:tcBorders>
            <w:noWrap w:val="0"/>
            <w:vAlign w:val="center"/>
          </w:tcPr>
          <w:p w14:paraId="19DE8DCD">
            <w:pPr>
              <w:keepNext w:val="0"/>
              <w:keepLines w:val="0"/>
              <w:suppressLineNumbers w:val="0"/>
              <w:spacing w:before="0" w:beforeAutospacing="0" w:after="0" w:afterAutospacing="0" w:line="500" w:lineRule="exact"/>
              <w:ind w:left="0" w:right="0"/>
              <w:jc w:val="center"/>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rPr>
              <w:t>项目名称</w:t>
            </w:r>
          </w:p>
        </w:tc>
        <w:tc>
          <w:tcPr>
            <w:tcW w:w="6923" w:type="dxa"/>
            <w:tcBorders>
              <w:top w:val="single" w:color="auto" w:sz="4" w:space="0"/>
              <w:left w:val="nil"/>
              <w:bottom w:val="single" w:color="auto" w:sz="4" w:space="0"/>
              <w:right w:val="single" w:color="auto" w:sz="4" w:space="0"/>
            </w:tcBorders>
            <w:noWrap w:val="0"/>
            <w:vAlign w:val="center"/>
          </w:tcPr>
          <w:p w14:paraId="02A660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olor w:val="auto"/>
                <w:kern w:val="0"/>
                <w:sz w:val="22"/>
                <w:szCs w:val="22"/>
                <w:highlight w:val="none"/>
                <w:lang w:val="en-US" w:eastAsia="zh-CN"/>
              </w:rPr>
            </w:pPr>
          </w:p>
        </w:tc>
      </w:tr>
      <w:tr w14:paraId="29BABD76">
        <w:tblPrEx>
          <w:tblCellMar>
            <w:top w:w="0" w:type="dxa"/>
            <w:left w:w="108" w:type="dxa"/>
            <w:bottom w:w="0" w:type="dxa"/>
            <w:right w:w="108" w:type="dxa"/>
          </w:tblCellMar>
        </w:tblPrEx>
        <w:trPr>
          <w:trHeight w:val="1486" w:hRule="atLeast"/>
        </w:trPr>
        <w:tc>
          <w:tcPr>
            <w:tcW w:w="1738" w:type="dxa"/>
            <w:tcBorders>
              <w:top w:val="single" w:color="auto" w:sz="4" w:space="0"/>
              <w:left w:val="single" w:color="auto" w:sz="4" w:space="0"/>
              <w:bottom w:val="single" w:color="auto" w:sz="4" w:space="0"/>
              <w:right w:val="single" w:color="auto" w:sz="4" w:space="0"/>
            </w:tcBorders>
            <w:noWrap w:val="0"/>
            <w:vAlign w:val="center"/>
          </w:tcPr>
          <w:p w14:paraId="5C9EBD43">
            <w:pPr>
              <w:keepNext w:val="0"/>
              <w:keepLines w:val="0"/>
              <w:suppressLineNumbers w:val="0"/>
              <w:spacing w:before="0" w:beforeAutospacing="0" w:after="0" w:afterAutospacing="0" w:line="500" w:lineRule="exact"/>
              <w:ind w:left="0" w:right="0"/>
              <w:jc w:val="center"/>
              <w:rPr>
                <w:rFonts w:hint="default" w:ascii="宋体" w:hAnsi="宋体" w:eastAsia="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投标报价</w:t>
            </w:r>
          </w:p>
        </w:tc>
        <w:tc>
          <w:tcPr>
            <w:tcW w:w="6923" w:type="dxa"/>
            <w:tcBorders>
              <w:top w:val="single" w:color="auto" w:sz="4" w:space="0"/>
              <w:left w:val="nil"/>
              <w:bottom w:val="single" w:color="auto" w:sz="4" w:space="0"/>
              <w:right w:val="single" w:color="auto" w:sz="4" w:space="0"/>
            </w:tcBorders>
            <w:noWrap w:val="0"/>
            <w:vAlign w:val="center"/>
          </w:tcPr>
          <w:p w14:paraId="14B95A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default" w:eastAsia="宋体"/>
                <w:sz w:val="22"/>
                <w:szCs w:val="22"/>
                <w:highlight w:val="none"/>
                <w:lang w:val="en-US" w:eastAsia="zh-CN"/>
              </w:rPr>
            </w:pPr>
            <w:r>
              <w:rPr>
                <w:rFonts w:hint="eastAsia"/>
                <w:sz w:val="22"/>
                <w:szCs w:val="22"/>
                <w:highlight w:val="none"/>
                <w:lang w:val="en-US" w:eastAsia="zh-CN"/>
              </w:rPr>
              <w:t>大写：               （小写：        ）</w:t>
            </w:r>
          </w:p>
        </w:tc>
      </w:tr>
      <w:tr w14:paraId="0F11629D">
        <w:tblPrEx>
          <w:tblCellMar>
            <w:top w:w="0" w:type="dxa"/>
            <w:left w:w="108" w:type="dxa"/>
            <w:bottom w:w="0" w:type="dxa"/>
            <w:right w:w="108" w:type="dxa"/>
          </w:tblCellMar>
        </w:tblPrEx>
        <w:trPr>
          <w:trHeight w:val="1026" w:hRule="atLeast"/>
        </w:trPr>
        <w:tc>
          <w:tcPr>
            <w:tcW w:w="1738" w:type="dxa"/>
            <w:tcBorders>
              <w:top w:val="single" w:color="auto" w:sz="4" w:space="0"/>
              <w:left w:val="single" w:color="auto" w:sz="4" w:space="0"/>
              <w:bottom w:val="single" w:color="auto" w:sz="4" w:space="0"/>
              <w:right w:val="single" w:color="auto" w:sz="4" w:space="0"/>
            </w:tcBorders>
            <w:noWrap w:val="0"/>
            <w:vAlign w:val="center"/>
          </w:tcPr>
          <w:p w14:paraId="5B1708AD">
            <w:pPr>
              <w:keepNext w:val="0"/>
              <w:keepLines w:val="0"/>
              <w:suppressLineNumbers w:val="0"/>
              <w:spacing w:before="0" w:beforeAutospacing="0" w:after="0" w:afterAutospacing="0" w:line="500" w:lineRule="exact"/>
              <w:ind w:left="0" w:right="0"/>
              <w:jc w:val="center"/>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rPr>
              <w:t>备注</w:t>
            </w:r>
          </w:p>
        </w:tc>
        <w:tc>
          <w:tcPr>
            <w:tcW w:w="6923" w:type="dxa"/>
            <w:tcBorders>
              <w:top w:val="single" w:color="auto" w:sz="4" w:space="0"/>
              <w:left w:val="nil"/>
              <w:bottom w:val="single" w:color="auto" w:sz="4" w:space="0"/>
              <w:right w:val="single" w:color="auto" w:sz="4" w:space="0"/>
            </w:tcBorders>
            <w:noWrap w:val="0"/>
            <w:vAlign w:val="center"/>
          </w:tcPr>
          <w:p w14:paraId="0776EFD3">
            <w:pPr>
              <w:keepNext w:val="0"/>
              <w:keepLines w:val="0"/>
              <w:widowControl/>
              <w:suppressLineNumbers w:val="0"/>
              <w:spacing w:before="0" w:beforeAutospacing="0" w:after="0" w:afterAutospacing="0" w:line="360" w:lineRule="auto"/>
              <w:ind w:left="0" w:right="0" w:firstLine="0" w:firstLineChars="0"/>
              <w:jc w:val="left"/>
              <w:rPr>
                <w:rFonts w:hint="eastAsia" w:ascii="宋体" w:hAnsi="宋体"/>
                <w:color w:val="auto"/>
                <w:kern w:val="0"/>
                <w:sz w:val="22"/>
                <w:szCs w:val="22"/>
                <w:highlight w:val="none"/>
                <w:lang w:val="en-US" w:eastAsia="zh-CN"/>
              </w:rPr>
            </w:pPr>
          </w:p>
        </w:tc>
      </w:tr>
    </w:tbl>
    <w:p w14:paraId="66D7CC32">
      <w:pPr>
        <w:pStyle w:val="5"/>
        <w:rPr>
          <w:rFonts w:hint="eastAsia"/>
          <w:color w:val="auto"/>
          <w:highlight w:val="none"/>
        </w:rPr>
      </w:pPr>
    </w:p>
    <w:p w14:paraId="0C10233B">
      <w:pPr>
        <w:keepNext w:val="0"/>
        <w:keepLines w:val="0"/>
        <w:pageBreakBefore w:val="0"/>
        <w:widowControl/>
        <w:suppressLineNumbers w:val="0"/>
        <w:kinsoku/>
        <w:wordWrap/>
        <w:overflowPunct/>
        <w:topLinePunct w:val="0"/>
        <w:autoSpaceDE/>
        <w:autoSpaceDN/>
        <w:bidi w:val="0"/>
        <w:adjustRightInd/>
        <w:snapToGrid/>
        <w:spacing w:line="480" w:lineRule="auto"/>
        <w:ind w:firstLine="5040" w:firstLineChars="2100"/>
        <w:jc w:val="left"/>
        <w:textAlignment w:val="auto"/>
        <w:rPr>
          <w:rFonts w:hint="eastAsia" w:ascii="宋体" w:hAnsi="宋体" w:eastAsia="宋体" w:cs="宋体"/>
          <w:color w:val="auto"/>
          <w:kern w:val="0"/>
          <w:sz w:val="24"/>
          <w:szCs w:val="24"/>
          <w:highlight w:val="none"/>
          <w:lang w:val="en-US" w:eastAsia="zh-CN" w:bidi="ar"/>
        </w:rPr>
      </w:pPr>
    </w:p>
    <w:p w14:paraId="64FF4921">
      <w:pPr>
        <w:keepNext w:val="0"/>
        <w:keepLines w:val="0"/>
        <w:pageBreakBefore w:val="0"/>
        <w:widowControl/>
        <w:suppressLineNumbers w:val="0"/>
        <w:kinsoku/>
        <w:wordWrap/>
        <w:overflowPunct/>
        <w:topLinePunct w:val="0"/>
        <w:autoSpaceDE/>
        <w:autoSpaceDN/>
        <w:bidi w:val="0"/>
        <w:adjustRightInd/>
        <w:snapToGrid/>
        <w:spacing w:line="480" w:lineRule="auto"/>
        <w:ind w:firstLine="4620" w:firstLineChars="2100"/>
        <w:jc w:val="left"/>
        <w:textAlignment w:val="auto"/>
        <w:rPr>
          <w:color w:val="auto"/>
          <w:sz w:val="22"/>
          <w:szCs w:val="22"/>
          <w:highlight w:val="none"/>
        </w:rPr>
      </w:pPr>
      <w:r>
        <w:rPr>
          <w:rFonts w:hint="eastAsia" w:ascii="宋体" w:hAnsi="宋体" w:eastAsia="宋体" w:cs="宋体"/>
          <w:color w:val="auto"/>
          <w:kern w:val="0"/>
          <w:sz w:val="22"/>
          <w:szCs w:val="22"/>
          <w:highlight w:val="none"/>
          <w:lang w:val="en-US" w:eastAsia="zh-CN" w:bidi="ar"/>
        </w:rPr>
        <w:t>投标人：</w:t>
      </w: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lang w:val="en-US" w:eastAsia="zh-CN" w:bidi="ar"/>
        </w:rPr>
        <w:t xml:space="preserve">（盖投标人公章） </w:t>
      </w:r>
    </w:p>
    <w:p w14:paraId="109AA012">
      <w:pPr>
        <w:keepNext w:val="0"/>
        <w:keepLines w:val="0"/>
        <w:pageBreakBefore w:val="0"/>
        <w:widowControl/>
        <w:suppressLineNumbers w:val="0"/>
        <w:kinsoku/>
        <w:wordWrap/>
        <w:overflowPunct/>
        <w:topLinePunct w:val="0"/>
        <w:autoSpaceDE/>
        <w:autoSpaceDN/>
        <w:bidi w:val="0"/>
        <w:adjustRightInd/>
        <w:snapToGrid/>
        <w:spacing w:line="480" w:lineRule="auto"/>
        <w:ind w:firstLine="3520" w:firstLineChars="1600"/>
        <w:jc w:val="left"/>
        <w:textAlignment w:val="auto"/>
        <w:rPr>
          <w:color w:val="auto"/>
          <w:sz w:val="22"/>
          <w:szCs w:val="22"/>
          <w:highlight w:val="none"/>
        </w:rPr>
      </w:pPr>
      <w:r>
        <w:rPr>
          <w:rFonts w:hint="eastAsia" w:ascii="宋体" w:hAnsi="宋体" w:eastAsia="宋体" w:cs="宋体"/>
          <w:color w:val="auto"/>
          <w:kern w:val="0"/>
          <w:sz w:val="22"/>
          <w:szCs w:val="22"/>
          <w:highlight w:val="none"/>
          <w:lang w:val="en-US" w:eastAsia="zh-CN" w:bidi="ar"/>
        </w:rPr>
        <w:t>法定代表人或其委托代理人：</w:t>
      </w: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lang w:val="en-US" w:eastAsia="zh-CN" w:bidi="ar"/>
        </w:rPr>
        <w:t xml:space="preserve">（签字或盖章） </w:t>
      </w:r>
    </w:p>
    <w:p w14:paraId="1BD12186">
      <w:pPr>
        <w:spacing w:line="500" w:lineRule="exact"/>
        <w:jc w:val="right"/>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lang w:val="en-US" w:eastAsia="zh-CN" w:bidi="ar"/>
        </w:rPr>
        <w:t>年</w:t>
      </w: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lang w:val="en-US" w:eastAsia="zh-CN" w:bidi="ar"/>
        </w:rPr>
        <w:t>月</w:t>
      </w: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lang w:val="en-US" w:eastAsia="zh-CN" w:bidi="ar"/>
        </w:rPr>
        <w:t xml:space="preserve">日 </w:t>
      </w:r>
    </w:p>
    <w:p w14:paraId="1F3B40C0">
      <w:pPr>
        <w:jc w:val="left"/>
        <w:rPr>
          <w:rFonts w:hint="eastAsia" w:ascii="宋体" w:hAnsi="宋体" w:cs="宋体"/>
          <w:b/>
          <w:bCs/>
          <w:color w:val="auto"/>
          <w:sz w:val="24"/>
          <w:highlight w:val="none"/>
        </w:rPr>
      </w:pPr>
    </w:p>
    <w:p w14:paraId="72DF8F42">
      <w:pPr>
        <w:jc w:val="left"/>
        <w:rPr>
          <w:rFonts w:hint="eastAsia" w:ascii="宋体" w:hAnsi="宋体" w:cs="宋体"/>
          <w:b/>
          <w:bCs/>
          <w:color w:val="auto"/>
          <w:sz w:val="24"/>
          <w:highlight w:val="none"/>
        </w:rPr>
      </w:pPr>
    </w:p>
    <w:p w14:paraId="448607B4">
      <w:pPr>
        <w:jc w:val="left"/>
        <w:rPr>
          <w:rFonts w:hint="eastAsia" w:ascii="宋体" w:hAnsi="宋体" w:cs="宋体"/>
          <w:b/>
          <w:bCs/>
          <w:color w:val="auto"/>
          <w:sz w:val="24"/>
          <w:highlight w:val="none"/>
        </w:rPr>
      </w:pPr>
    </w:p>
    <w:p w14:paraId="6C8D976B">
      <w:pPr>
        <w:jc w:val="left"/>
        <w:rPr>
          <w:rFonts w:hint="eastAsia" w:ascii="宋体" w:hAnsi="宋体" w:cs="宋体"/>
          <w:b/>
          <w:bCs/>
          <w:color w:val="auto"/>
          <w:sz w:val="24"/>
          <w:highlight w:val="none"/>
        </w:rPr>
      </w:pPr>
    </w:p>
    <w:p w14:paraId="40099F1A">
      <w:pPr>
        <w:jc w:val="left"/>
        <w:rPr>
          <w:rFonts w:hint="eastAsia" w:ascii="宋体" w:hAnsi="宋体" w:cs="宋体"/>
          <w:b/>
          <w:bCs/>
          <w:color w:val="auto"/>
          <w:sz w:val="24"/>
          <w:highlight w:val="none"/>
        </w:rPr>
      </w:pPr>
    </w:p>
    <w:p w14:paraId="2F954EB4">
      <w:pPr>
        <w:jc w:val="left"/>
        <w:rPr>
          <w:rFonts w:hint="eastAsia" w:ascii="宋体" w:hAnsi="宋体" w:cs="宋体"/>
          <w:b/>
          <w:bCs/>
          <w:color w:val="auto"/>
          <w:sz w:val="24"/>
          <w:highlight w:val="none"/>
        </w:rPr>
      </w:pPr>
    </w:p>
    <w:p w14:paraId="00E06EC0">
      <w:pPr>
        <w:jc w:val="left"/>
        <w:rPr>
          <w:rFonts w:hint="eastAsia" w:ascii="宋体" w:hAnsi="宋体" w:cs="宋体"/>
          <w:b/>
          <w:bCs/>
          <w:color w:val="auto"/>
          <w:sz w:val="24"/>
          <w:highlight w:val="none"/>
        </w:rPr>
      </w:pPr>
    </w:p>
    <w:p w14:paraId="130C76A2">
      <w:pPr>
        <w:pStyle w:val="40"/>
        <w:rPr>
          <w:rFonts w:hint="eastAsia"/>
          <w:color w:val="auto"/>
          <w:highlight w:val="none"/>
        </w:rPr>
      </w:pPr>
    </w:p>
    <w:p w14:paraId="5AAF5E0C">
      <w:pPr>
        <w:rPr>
          <w:rFonts w:hint="eastAsia"/>
          <w:color w:val="auto"/>
          <w:highlight w:val="none"/>
        </w:rPr>
      </w:pPr>
    </w:p>
    <w:p w14:paraId="35ADA473">
      <w:pPr>
        <w:pStyle w:val="8"/>
        <w:rPr>
          <w:rFonts w:hint="eastAsia"/>
          <w:color w:val="auto"/>
          <w:highlight w:val="none"/>
        </w:rPr>
      </w:pPr>
    </w:p>
    <w:p w14:paraId="2DCBD4DF">
      <w:pPr>
        <w:pStyle w:val="9"/>
        <w:rPr>
          <w:rFonts w:hint="eastAsia"/>
          <w:color w:val="auto"/>
          <w:highlight w:val="none"/>
        </w:rPr>
      </w:pPr>
    </w:p>
    <w:p w14:paraId="347426C6">
      <w:pPr>
        <w:rPr>
          <w:rFonts w:hint="eastAsia"/>
          <w:color w:val="auto"/>
          <w:highlight w:val="none"/>
        </w:rPr>
      </w:pPr>
    </w:p>
    <w:p w14:paraId="17F9C1EA">
      <w:pPr>
        <w:pStyle w:val="8"/>
        <w:rPr>
          <w:rFonts w:hint="eastAsia"/>
          <w:color w:val="auto"/>
          <w:highlight w:val="none"/>
        </w:rPr>
      </w:pPr>
    </w:p>
    <w:p w14:paraId="53FEC372">
      <w:pPr>
        <w:pStyle w:val="9"/>
        <w:rPr>
          <w:rFonts w:hint="eastAsia"/>
          <w:color w:val="auto"/>
          <w:highlight w:val="none"/>
        </w:rPr>
      </w:pPr>
    </w:p>
    <w:p w14:paraId="101CB52B">
      <w:pPr>
        <w:rPr>
          <w:rFonts w:hint="eastAsia"/>
          <w:color w:val="auto"/>
          <w:highlight w:val="none"/>
        </w:rPr>
      </w:pPr>
    </w:p>
    <w:p w14:paraId="1EC9ECB4">
      <w:pPr>
        <w:pStyle w:val="8"/>
        <w:rPr>
          <w:rFonts w:hint="eastAsia"/>
          <w:highlight w:val="none"/>
        </w:rPr>
        <w:sectPr>
          <w:footerReference r:id="rId6" w:type="default"/>
          <w:pgSz w:w="11906" w:h="16838"/>
          <w:pgMar w:top="1304" w:right="1417" w:bottom="1304" w:left="1417" w:header="851" w:footer="992" w:gutter="0"/>
          <w:pgBorders>
            <w:top w:val="none" w:sz="0" w:space="0"/>
            <w:left w:val="none" w:sz="0" w:space="0"/>
            <w:bottom w:val="none" w:sz="0" w:space="0"/>
            <w:right w:val="none" w:sz="0" w:space="0"/>
          </w:pgBorders>
          <w:pgNumType w:fmt="decimal" w:start="1"/>
          <w:cols w:space="0" w:num="1"/>
          <w:rtlGutter w:val="0"/>
          <w:docGrid w:type="lines" w:linePitch="312" w:charSpace="0"/>
        </w:sectPr>
      </w:pPr>
    </w:p>
    <w:p w14:paraId="6B22A1FE">
      <w:pPr>
        <w:jc w:val="center"/>
        <w:rPr>
          <w:rFonts w:hint="eastAsia" w:ascii="宋体" w:hAnsi="宋体" w:eastAsia="宋体" w:cs="宋体"/>
          <w:b/>
          <w:color w:val="auto"/>
          <w:sz w:val="36"/>
          <w:szCs w:val="36"/>
          <w:highlight w:val="none"/>
        </w:rPr>
      </w:pPr>
      <w:r>
        <w:rPr>
          <w:rFonts w:hint="eastAsia" w:ascii="宋体" w:hAnsi="宋体" w:cs="宋体"/>
          <w:b/>
          <w:color w:val="auto"/>
          <w:sz w:val="36"/>
          <w:szCs w:val="36"/>
          <w:highlight w:val="none"/>
          <w:lang w:val="en-US" w:eastAsia="zh-CN"/>
        </w:rPr>
        <w:t>四、报价明细表</w:t>
      </w:r>
    </w:p>
    <w:p w14:paraId="243180CA">
      <w:pPr>
        <w:rPr>
          <w:rFonts w:hint="eastAsia"/>
          <w:sz w:val="22"/>
          <w:szCs w:val="24"/>
          <w:highlight w:val="none"/>
          <w:lang w:eastAsia="zh-CN"/>
        </w:rPr>
      </w:pPr>
    </w:p>
    <w:p w14:paraId="0B92F55A">
      <w:pPr>
        <w:rPr>
          <w:rFonts w:hint="eastAsia"/>
          <w:sz w:val="22"/>
          <w:szCs w:val="24"/>
          <w:highlight w:val="none"/>
          <w:lang w:eastAsia="zh-CN"/>
        </w:rPr>
      </w:pPr>
      <w:r>
        <w:rPr>
          <w:rFonts w:hint="eastAsia"/>
          <w:sz w:val="22"/>
          <w:szCs w:val="24"/>
          <w:highlight w:val="none"/>
          <w:lang w:eastAsia="zh-CN"/>
        </w:rPr>
        <w:t>（此报价明细表的货物种类、数量不得低于招标人最低配置要求）</w:t>
      </w:r>
    </w:p>
    <w:p w14:paraId="3C37FABE">
      <w:pPr>
        <w:pStyle w:val="8"/>
        <w:rPr>
          <w:rFonts w:hint="eastAsia"/>
          <w:highlight w:val="none"/>
          <w:lang w:eastAsia="zh-CN"/>
        </w:rPr>
      </w:pPr>
    </w:p>
    <w:tbl>
      <w:tblPr>
        <w:tblStyle w:val="23"/>
        <w:tblW w:w="495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
        <w:gridCol w:w="1501"/>
        <w:gridCol w:w="2591"/>
        <w:gridCol w:w="766"/>
        <w:gridCol w:w="738"/>
        <w:gridCol w:w="1088"/>
        <w:gridCol w:w="805"/>
        <w:gridCol w:w="1289"/>
      </w:tblGrid>
      <w:tr w14:paraId="2A596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31" w:type="pct"/>
            <w:tcBorders>
              <w:top w:val="single" w:color="000000" w:sz="4" w:space="0"/>
              <w:left w:val="single" w:color="000000" w:sz="4" w:space="0"/>
              <w:bottom w:val="nil"/>
              <w:right w:val="single" w:color="000000" w:sz="4" w:space="0"/>
            </w:tcBorders>
            <w:noWrap w:val="0"/>
            <w:vAlign w:val="center"/>
          </w:tcPr>
          <w:p w14:paraId="2B5DFC7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序号</w:t>
            </w:r>
          </w:p>
        </w:tc>
        <w:tc>
          <w:tcPr>
            <w:tcW w:w="816" w:type="pct"/>
            <w:tcBorders>
              <w:top w:val="single" w:color="000000" w:sz="4" w:space="0"/>
              <w:left w:val="single" w:color="000000" w:sz="4" w:space="0"/>
              <w:bottom w:val="nil"/>
              <w:right w:val="single" w:color="000000" w:sz="4" w:space="0"/>
            </w:tcBorders>
            <w:noWrap w:val="0"/>
            <w:vAlign w:val="center"/>
          </w:tcPr>
          <w:p w14:paraId="2EF9AC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货物名称</w:t>
            </w:r>
          </w:p>
        </w:tc>
        <w:tc>
          <w:tcPr>
            <w:tcW w:w="1407" w:type="pct"/>
            <w:tcBorders>
              <w:top w:val="single" w:color="000000" w:sz="4" w:space="0"/>
              <w:left w:val="single" w:color="000000" w:sz="4" w:space="0"/>
              <w:bottom w:val="single" w:color="000000" w:sz="4" w:space="0"/>
              <w:right w:val="single" w:color="000000" w:sz="4" w:space="0"/>
            </w:tcBorders>
            <w:noWrap w:val="0"/>
            <w:vAlign w:val="center"/>
          </w:tcPr>
          <w:p w14:paraId="709A0C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品牌型号</w:t>
            </w:r>
          </w:p>
        </w:tc>
        <w:tc>
          <w:tcPr>
            <w:tcW w:w="414" w:type="pct"/>
            <w:tcBorders>
              <w:top w:val="single" w:color="000000" w:sz="4" w:space="0"/>
              <w:left w:val="single" w:color="000000" w:sz="4" w:space="0"/>
              <w:bottom w:val="nil"/>
              <w:right w:val="single" w:color="000000" w:sz="4" w:space="0"/>
            </w:tcBorders>
            <w:noWrap w:val="0"/>
            <w:vAlign w:val="center"/>
          </w:tcPr>
          <w:p w14:paraId="3AB329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单位</w:t>
            </w: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63E6469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数量</w:t>
            </w: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035EB5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综合单价</w:t>
            </w:r>
          </w:p>
        </w:tc>
        <w:tc>
          <w:tcPr>
            <w:tcW w:w="437" w:type="pct"/>
            <w:tcBorders>
              <w:top w:val="single" w:color="000000" w:sz="4" w:space="0"/>
              <w:left w:val="single" w:color="000000" w:sz="4" w:space="0"/>
              <w:bottom w:val="single" w:color="000000" w:sz="4" w:space="0"/>
              <w:right w:val="single" w:color="000000" w:sz="4" w:space="0"/>
            </w:tcBorders>
            <w:noWrap w:val="0"/>
            <w:vAlign w:val="center"/>
          </w:tcPr>
          <w:p w14:paraId="0D9FEC7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合计</w:t>
            </w:r>
          </w:p>
        </w:tc>
        <w:tc>
          <w:tcPr>
            <w:tcW w:w="698" w:type="pct"/>
            <w:tcBorders>
              <w:top w:val="single" w:color="000000" w:sz="4" w:space="0"/>
              <w:left w:val="single" w:color="000000" w:sz="4" w:space="0"/>
              <w:bottom w:val="single" w:color="000000" w:sz="4" w:space="0"/>
              <w:right w:val="single" w:color="000000" w:sz="4" w:space="0"/>
            </w:tcBorders>
            <w:noWrap w:val="0"/>
            <w:vAlign w:val="center"/>
          </w:tcPr>
          <w:p w14:paraId="2D2C13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备注</w:t>
            </w:r>
          </w:p>
        </w:tc>
      </w:tr>
      <w:tr w14:paraId="147F6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31" w:type="pct"/>
            <w:tcBorders>
              <w:top w:val="single" w:color="000000" w:sz="4" w:space="0"/>
              <w:left w:val="single" w:color="000000" w:sz="4" w:space="0"/>
              <w:bottom w:val="single" w:color="000000" w:sz="4" w:space="0"/>
              <w:right w:val="single" w:color="000000" w:sz="4" w:space="0"/>
            </w:tcBorders>
            <w:noWrap w:val="0"/>
            <w:vAlign w:val="center"/>
          </w:tcPr>
          <w:p w14:paraId="7412FCB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62000C7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1407" w:type="pct"/>
            <w:tcBorders>
              <w:top w:val="single" w:color="000000" w:sz="4" w:space="0"/>
              <w:left w:val="single" w:color="000000" w:sz="4" w:space="0"/>
              <w:bottom w:val="single" w:color="000000" w:sz="4" w:space="0"/>
              <w:right w:val="single" w:color="000000" w:sz="4" w:space="0"/>
            </w:tcBorders>
            <w:noWrap w:val="0"/>
            <w:vAlign w:val="center"/>
          </w:tcPr>
          <w:p w14:paraId="1BB2C0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36477C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79D9F3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2E7C4DE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437" w:type="pct"/>
            <w:tcBorders>
              <w:top w:val="single" w:color="000000" w:sz="4" w:space="0"/>
              <w:left w:val="single" w:color="000000" w:sz="4" w:space="0"/>
              <w:bottom w:val="single" w:color="000000" w:sz="4" w:space="0"/>
              <w:right w:val="single" w:color="000000" w:sz="4" w:space="0"/>
            </w:tcBorders>
            <w:noWrap w:val="0"/>
            <w:vAlign w:val="center"/>
          </w:tcPr>
          <w:p w14:paraId="064520B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98" w:type="pct"/>
            <w:tcBorders>
              <w:top w:val="single" w:color="000000" w:sz="4" w:space="0"/>
              <w:left w:val="single" w:color="000000" w:sz="4" w:space="0"/>
              <w:bottom w:val="single" w:color="000000" w:sz="4" w:space="0"/>
              <w:right w:val="single" w:color="000000" w:sz="4" w:space="0"/>
            </w:tcBorders>
            <w:noWrap w:val="0"/>
            <w:vAlign w:val="center"/>
          </w:tcPr>
          <w:p w14:paraId="3C6BBA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3DA22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31" w:type="pct"/>
            <w:tcBorders>
              <w:top w:val="single" w:color="000000" w:sz="4" w:space="0"/>
              <w:left w:val="single" w:color="000000" w:sz="4" w:space="0"/>
              <w:bottom w:val="single" w:color="000000" w:sz="4" w:space="0"/>
              <w:right w:val="single" w:color="000000" w:sz="4" w:space="0"/>
            </w:tcBorders>
            <w:noWrap w:val="0"/>
            <w:vAlign w:val="center"/>
          </w:tcPr>
          <w:p w14:paraId="504C89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18D65B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1407" w:type="pct"/>
            <w:tcBorders>
              <w:top w:val="single" w:color="000000" w:sz="4" w:space="0"/>
              <w:left w:val="single" w:color="000000" w:sz="4" w:space="0"/>
              <w:bottom w:val="single" w:color="000000" w:sz="4" w:space="0"/>
              <w:right w:val="single" w:color="000000" w:sz="4" w:space="0"/>
            </w:tcBorders>
            <w:noWrap w:val="0"/>
            <w:vAlign w:val="center"/>
          </w:tcPr>
          <w:p w14:paraId="15CD971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62F4995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5B89325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607647D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437" w:type="pct"/>
            <w:tcBorders>
              <w:top w:val="single" w:color="000000" w:sz="4" w:space="0"/>
              <w:left w:val="single" w:color="000000" w:sz="4" w:space="0"/>
              <w:bottom w:val="single" w:color="000000" w:sz="4" w:space="0"/>
              <w:right w:val="single" w:color="000000" w:sz="4" w:space="0"/>
            </w:tcBorders>
            <w:noWrap w:val="0"/>
            <w:vAlign w:val="center"/>
          </w:tcPr>
          <w:p w14:paraId="57325B8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98" w:type="pct"/>
            <w:tcBorders>
              <w:top w:val="single" w:color="000000" w:sz="4" w:space="0"/>
              <w:left w:val="single" w:color="000000" w:sz="4" w:space="0"/>
              <w:bottom w:val="single" w:color="000000" w:sz="4" w:space="0"/>
              <w:right w:val="single" w:color="000000" w:sz="4" w:space="0"/>
            </w:tcBorders>
            <w:noWrap w:val="0"/>
            <w:vAlign w:val="center"/>
          </w:tcPr>
          <w:p w14:paraId="034FCB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226FE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31" w:type="pct"/>
            <w:tcBorders>
              <w:top w:val="single" w:color="000000" w:sz="4" w:space="0"/>
              <w:left w:val="single" w:color="000000" w:sz="4" w:space="0"/>
              <w:bottom w:val="single" w:color="000000" w:sz="4" w:space="0"/>
              <w:right w:val="single" w:color="000000" w:sz="4" w:space="0"/>
            </w:tcBorders>
            <w:noWrap w:val="0"/>
            <w:vAlign w:val="center"/>
          </w:tcPr>
          <w:p w14:paraId="420B968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2E7F437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1407" w:type="pct"/>
            <w:tcBorders>
              <w:top w:val="single" w:color="000000" w:sz="4" w:space="0"/>
              <w:left w:val="single" w:color="000000" w:sz="4" w:space="0"/>
              <w:bottom w:val="single" w:color="000000" w:sz="4" w:space="0"/>
              <w:right w:val="single" w:color="000000" w:sz="4" w:space="0"/>
            </w:tcBorders>
            <w:noWrap w:val="0"/>
            <w:vAlign w:val="center"/>
          </w:tcPr>
          <w:p w14:paraId="6D7CA35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E0FCE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0FE3E8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74DEBD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437" w:type="pct"/>
            <w:tcBorders>
              <w:top w:val="single" w:color="000000" w:sz="4" w:space="0"/>
              <w:left w:val="single" w:color="000000" w:sz="4" w:space="0"/>
              <w:bottom w:val="single" w:color="000000" w:sz="4" w:space="0"/>
              <w:right w:val="single" w:color="000000" w:sz="4" w:space="0"/>
            </w:tcBorders>
            <w:noWrap w:val="0"/>
            <w:vAlign w:val="center"/>
          </w:tcPr>
          <w:p w14:paraId="7D4BF5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98" w:type="pct"/>
            <w:tcBorders>
              <w:top w:val="single" w:color="000000" w:sz="4" w:space="0"/>
              <w:left w:val="single" w:color="000000" w:sz="4" w:space="0"/>
              <w:bottom w:val="single" w:color="000000" w:sz="4" w:space="0"/>
              <w:right w:val="single" w:color="000000" w:sz="4" w:space="0"/>
            </w:tcBorders>
            <w:noWrap w:val="0"/>
            <w:vAlign w:val="center"/>
          </w:tcPr>
          <w:p w14:paraId="36FAAAB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0E915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31" w:type="pct"/>
            <w:tcBorders>
              <w:top w:val="single" w:color="000000" w:sz="4" w:space="0"/>
              <w:left w:val="single" w:color="000000" w:sz="4" w:space="0"/>
              <w:bottom w:val="single" w:color="000000" w:sz="4" w:space="0"/>
              <w:right w:val="single" w:color="000000" w:sz="4" w:space="0"/>
            </w:tcBorders>
            <w:noWrap w:val="0"/>
            <w:vAlign w:val="center"/>
          </w:tcPr>
          <w:p w14:paraId="3B1EB94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4B83AE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1407" w:type="pct"/>
            <w:tcBorders>
              <w:top w:val="single" w:color="000000" w:sz="4" w:space="0"/>
              <w:left w:val="single" w:color="000000" w:sz="4" w:space="0"/>
              <w:bottom w:val="single" w:color="000000" w:sz="4" w:space="0"/>
              <w:right w:val="single" w:color="000000" w:sz="4" w:space="0"/>
            </w:tcBorders>
            <w:noWrap w:val="0"/>
            <w:vAlign w:val="center"/>
          </w:tcPr>
          <w:p w14:paraId="3F79F8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73D43A6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31C680B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28D02D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437" w:type="pct"/>
            <w:tcBorders>
              <w:top w:val="single" w:color="000000" w:sz="4" w:space="0"/>
              <w:left w:val="single" w:color="000000" w:sz="4" w:space="0"/>
              <w:bottom w:val="single" w:color="000000" w:sz="4" w:space="0"/>
              <w:right w:val="single" w:color="000000" w:sz="4" w:space="0"/>
            </w:tcBorders>
            <w:noWrap w:val="0"/>
            <w:vAlign w:val="center"/>
          </w:tcPr>
          <w:p w14:paraId="77936AA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98" w:type="pct"/>
            <w:tcBorders>
              <w:top w:val="single" w:color="000000" w:sz="4" w:space="0"/>
              <w:left w:val="single" w:color="000000" w:sz="4" w:space="0"/>
              <w:bottom w:val="single" w:color="000000" w:sz="4" w:space="0"/>
              <w:right w:val="single" w:color="000000" w:sz="4" w:space="0"/>
            </w:tcBorders>
            <w:noWrap w:val="0"/>
            <w:vAlign w:val="center"/>
          </w:tcPr>
          <w:p w14:paraId="619245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18D85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31" w:type="pct"/>
            <w:tcBorders>
              <w:top w:val="single" w:color="000000" w:sz="4" w:space="0"/>
              <w:left w:val="single" w:color="000000" w:sz="4" w:space="0"/>
              <w:bottom w:val="single" w:color="000000" w:sz="4" w:space="0"/>
              <w:right w:val="single" w:color="000000" w:sz="4" w:space="0"/>
            </w:tcBorders>
            <w:noWrap w:val="0"/>
            <w:vAlign w:val="center"/>
          </w:tcPr>
          <w:p w14:paraId="6191921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21EE82A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1407" w:type="pct"/>
            <w:tcBorders>
              <w:top w:val="single" w:color="000000" w:sz="4" w:space="0"/>
              <w:left w:val="single" w:color="000000" w:sz="4" w:space="0"/>
              <w:bottom w:val="single" w:color="000000" w:sz="4" w:space="0"/>
              <w:right w:val="single" w:color="000000" w:sz="4" w:space="0"/>
            </w:tcBorders>
            <w:noWrap w:val="0"/>
            <w:vAlign w:val="center"/>
          </w:tcPr>
          <w:p w14:paraId="06AF891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3FEA7D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34236E8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5F035B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437" w:type="pct"/>
            <w:tcBorders>
              <w:top w:val="single" w:color="000000" w:sz="4" w:space="0"/>
              <w:left w:val="single" w:color="000000" w:sz="4" w:space="0"/>
              <w:bottom w:val="single" w:color="000000" w:sz="4" w:space="0"/>
              <w:right w:val="single" w:color="000000" w:sz="4" w:space="0"/>
            </w:tcBorders>
            <w:noWrap w:val="0"/>
            <w:vAlign w:val="center"/>
          </w:tcPr>
          <w:p w14:paraId="53E358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98" w:type="pct"/>
            <w:tcBorders>
              <w:top w:val="single" w:color="000000" w:sz="4" w:space="0"/>
              <w:left w:val="single" w:color="000000" w:sz="4" w:space="0"/>
              <w:bottom w:val="single" w:color="000000" w:sz="4" w:space="0"/>
              <w:right w:val="single" w:color="000000" w:sz="4" w:space="0"/>
            </w:tcBorders>
            <w:noWrap w:val="0"/>
            <w:vAlign w:val="center"/>
          </w:tcPr>
          <w:p w14:paraId="54FF6CA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7172B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31" w:type="pct"/>
            <w:tcBorders>
              <w:top w:val="single" w:color="000000" w:sz="4" w:space="0"/>
              <w:left w:val="single" w:color="000000" w:sz="4" w:space="0"/>
              <w:bottom w:val="single" w:color="000000" w:sz="4" w:space="0"/>
              <w:right w:val="single" w:color="000000" w:sz="4" w:space="0"/>
            </w:tcBorders>
            <w:noWrap w:val="0"/>
            <w:vAlign w:val="center"/>
          </w:tcPr>
          <w:p w14:paraId="1973D2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0DFD34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1407" w:type="pct"/>
            <w:tcBorders>
              <w:top w:val="single" w:color="000000" w:sz="4" w:space="0"/>
              <w:left w:val="single" w:color="000000" w:sz="4" w:space="0"/>
              <w:bottom w:val="single" w:color="000000" w:sz="4" w:space="0"/>
              <w:right w:val="single" w:color="000000" w:sz="4" w:space="0"/>
            </w:tcBorders>
            <w:noWrap w:val="0"/>
            <w:vAlign w:val="center"/>
          </w:tcPr>
          <w:p w14:paraId="6D0F65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751E8D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3ECBED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5C60B9D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437" w:type="pct"/>
            <w:tcBorders>
              <w:top w:val="single" w:color="000000" w:sz="4" w:space="0"/>
              <w:left w:val="single" w:color="000000" w:sz="4" w:space="0"/>
              <w:bottom w:val="single" w:color="000000" w:sz="4" w:space="0"/>
              <w:right w:val="single" w:color="000000" w:sz="4" w:space="0"/>
            </w:tcBorders>
            <w:noWrap w:val="0"/>
            <w:vAlign w:val="center"/>
          </w:tcPr>
          <w:p w14:paraId="3C80474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98" w:type="pct"/>
            <w:tcBorders>
              <w:top w:val="single" w:color="000000" w:sz="4" w:space="0"/>
              <w:left w:val="single" w:color="000000" w:sz="4" w:space="0"/>
              <w:bottom w:val="single" w:color="000000" w:sz="4" w:space="0"/>
              <w:right w:val="single" w:color="000000" w:sz="4" w:space="0"/>
            </w:tcBorders>
            <w:noWrap w:val="0"/>
            <w:vAlign w:val="center"/>
          </w:tcPr>
          <w:p w14:paraId="7F60B6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1304C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31" w:type="pct"/>
            <w:tcBorders>
              <w:top w:val="single" w:color="000000" w:sz="4" w:space="0"/>
              <w:left w:val="single" w:color="000000" w:sz="4" w:space="0"/>
              <w:bottom w:val="single" w:color="000000" w:sz="4" w:space="0"/>
              <w:right w:val="single" w:color="000000" w:sz="4" w:space="0"/>
            </w:tcBorders>
            <w:noWrap w:val="0"/>
            <w:vAlign w:val="center"/>
          </w:tcPr>
          <w:p w14:paraId="5BFA21A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0510AB5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1407" w:type="pct"/>
            <w:tcBorders>
              <w:top w:val="single" w:color="000000" w:sz="4" w:space="0"/>
              <w:left w:val="single" w:color="000000" w:sz="4" w:space="0"/>
              <w:bottom w:val="single" w:color="000000" w:sz="4" w:space="0"/>
              <w:right w:val="single" w:color="000000" w:sz="4" w:space="0"/>
            </w:tcBorders>
            <w:noWrap w:val="0"/>
            <w:vAlign w:val="center"/>
          </w:tcPr>
          <w:p w14:paraId="099BC15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55CAC8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7F2F16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305766B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437" w:type="pct"/>
            <w:tcBorders>
              <w:top w:val="single" w:color="000000" w:sz="4" w:space="0"/>
              <w:left w:val="single" w:color="000000" w:sz="4" w:space="0"/>
              <w:bottom w:val="single" w:color="000000" w:sz="4" w:space="0"/>
              <w:right w:val="single" w:color="000000" w:sz="4" w:space="0"/>
            </w:tcBorders>
            <w:noWrap w:val="0"/>
            <w:vAlign w:val="center"/>
          </w:tcPr>
          <w:p w14:paraId="2816A9C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98" w:type="pct"/>
            <w:tcBorders>
              <w:top w:val="single" w:color="000000" w:sz="4" w:space="0"/>
              <w:left w:val="single" w:color="000000" w:sz="4" w:space="0"/>
              <w:bottom w:val="single" w:color="000000" w:sz="4" w:space="0"/>
              <w:right w:val="single" w:color="000000" w:sz="4" w:space="0"/>
            </w:tcBorders>
            <w:noWrap w:val="0"/>
            <w:vAlign w:val="center"/>
          </w:tcPr>
          <w:p w14:paraId="3E9C34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3CC46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31" w:type="pct"/>
            <w:tcBorders>
              <w:top w:val="single" w:color="000000" w:sz="4" w:space="0"/>
              <w:left w:val="single" w:color="000000" w:sz="4" w:space="0"/>
              <w:bottom w:val="single" w:color="000000" w:sz="4" w:space="0"/>
              <w:right w:val="single" w:color="000000" w:sz="4" w:space="0"/>
            </w:tcBorders>
            <w:noWrap w:val="0"/>
            <w:vAlign w:val="center"/>
          </w:tcPr>
          <w:p w14:paraId="4C4885E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4961F60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1407" w:type="pct"/>
            <w:tcBorders>
              <w:top w:val="single" w:color="000000" w:sz="4" w:space="0"/>
              <w:left w:val="single" w:color="000000" w:sz="4" w:space="0"/>
              <w:bottom w:val="single" w:color="000000" w:sz="4" w:space="0"/>
              <w:right w:val="single" w:color="000000" w:sz="4" w:space="0"/>
            </w:tcBorders>
            <w:noWrap w:val="0"/>
            <w:vAlign w:val="center"/>
          </w:tcPr>
          <w:p w14:paraId="058FC9A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602DB2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597EBF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7D2A52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437" w:type="pct"/>
            <w:tcBorders>
              <w:top w:val="single" w:color="000000" w:sz="4" w:space="0"/>
              <w:left w:val="single" w:color="000000" w:sz="4" w:space="0"/>
              <w:bottom w:val="single" w:color="000000" w:sz="4" w:space="0"/>
              <w:right w:val="single" w:color="000000" w:sz="4" w:space="0"/>
            </w:tcBorders>
            <w:noWrap w:val="0"/>
            <w:vAlign w:val="center"/>
          </w:tcPr>
          <w:p w14:paraId="2220D8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98" w:type="pct"/>
            <w:tcBorders>
              <w:top w:val="single" w:color="000000" w:sz="4" w:space="0"/>
              <w:left w:val="single" w:color="000000" w:sz="4" w:space="0"/>
              <w:bottom w:val="single" w:color="000000" w:sz="4" w:space="0"/>
              <w:right w:val="single" w:color="000000" w:sz="4" w:space="0"/>
            </w:tcBorders>
            <w:noWrap w:val="0"/>
            <w:vAlign w:val="center"/>
          </w:tcPr>
          <w:p w14:paraId="560590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73EED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31" w:type="pct"/>
            <w:tcBorders>
              <w:top w:val="single" w:color="000000" w:sz="4" w:space="0"/>
              <w:left w:val="single" w:color="000000" w:sz="4" w:space="0"/>
              <w:bottom w:val="single" w:color="000000" w:sz="4" w:space="0"/>
              <w:right w:val="single" w:color="000000" w:sz="4" w:space="0"/>
            </w:tcBorders>
            <w:noWrap w:val="0"/>
            <w:vAlign w:val="center"/>
          </w:tcPr>
          <w:p w14:paraId="4956F6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527EF5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1407" w:type="pct"/>
            <w:tcBorders>
              <w:top w:val="single" w:color="000000" w:sz="4" w:space="0"/>
              <w:left w:val="single" w:color="000000" w:sz="4" w:space="0"/>
              <w:bottom w:val="single" w:color="000000" w:sz="4" w:space="0"/>
              <w:right w:val="single" w:color="000000" w:sz="4" w:space="0"/>
            </w:tcBorders>
            <w:noWrap w:val="0"/>
            <w:vAlign w:val="center"/>
          </w:tcPr>
          <w:p w14:paraId="7496042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2873923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0230CE4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0A8487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437" w:type="pct"/>
            <w:tcBorders>
              <w:top w:val="single" w:color="000000" w:sz="4" w:space="0"/>
              <w:left w:val="single" w:color="000000" w:sz="4" w:space="0"/>
              <w:bottom w:val="single" w:color="000000" w:sz="4" w:space="0"/>
              <w:right w:val="single" w:color="000000" w:sz="4" w:space="0"/>
            </w:tcBorders>
            <w:noWrap w:val="0"/>
            <w:vAlign w:val="center"/>
          </w:tcPr>
          <w:p w14:paraId="7AB2E4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98" w:type="pct"/>
            <w:tcBorders>
              <w:top w:val="single" w:color="000000" w:sz="4" w:space="0"/>
              <w:left w:val="single" w:color="000000" w:sz="4" w:space="0"/>
              <w:bottom w:val="single" w:color="000000" w:sz="4" w:space="0"/>
              <w:right w:val="single" w:color="000000" w:sz="4" w:space="0"/>
            </w:tcBorders>
            <w:noWrap w:val="0"/>
            <w:vAlign w:val="center"/>
          </w:tcPr>
          <w:p w14:paraId="5A8B17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03A83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31" w:type="pct"/>
            <w:tcBorders>
              <w:top w:val="single" w:color="000000" w:sz="4" w:space="0"/>
              <w:left w:val="single" w:color="000000" w:sz="4" w:space="0"/>
              <w:bottom w:val="single" w:color="000000" w:sz="4" w:space="0"/>
              <w:right w:val="single" w:color="000000" w:sz="4" w:space="0"/>
            </w:tcBorders>
            <w:noWrap w:val="0"/>
            <w:vAlign w:val="center"/>
          </w:tcPr>
          <w:p w14:paraId="71FED3C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309D47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1407" w:type="pct"/>
            <w:tcBorders>
              <w:top w:val="single" w:color="000000" w:sz="4" w:space="0"/>
              <w:left w:val="single" w:color="000000" w:sz="4" w:space="0"/>
              <w:bottom w:val="single" w:color="000000" w:sz="4" w:space="0"/>
              <w:right w:val="single" w:color="000000" w:sz="4" w:space="0"/>
            </w:tcBorders>
            <w:noWrap w:val="0"/>
            <w:vAlign w:val="center"/>
          </w:tcPr>
          <w:p w14:paraId="13D1502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3A23913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348564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5F2C734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437" w:type="pct"/>
            <w:tcBorders>
              <w:top w:val="single" w:color="000000" w:sz="4" w:space="0"/>
              <w:left w:val="single" w:color="000000" w:sz="4" w:space="0"/>
              <w:bottom w:val="single" w:color="000000" w:sz="4" w:space="0"/>
              <w:right w:val="single" w:color="000000" w:sz="4" w:space="0"/>
            </w:tcBorders>
            <w:noWrap w:val="0"/>
            <w:vAlign w:val="center"/>
          </w:tcPr>
          <w:p w14:paraId="629B41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98" w:type="pct"/>
            <w:tcBorders>
              <w:top w:val="single" w:color="000000" w:sz="4" w:space="0"/>
              <w:left w:val="single" w:color="000000" w:sz="4" w:space="0"/>
              <w:bottom w:val="single" w:color="000000" w:sz="4" w:space="0"/>
              <w:right w:val="single" w:color="000000" w:sz="4" w:space="0"/>
            </w:tcBorders>
            <w:noWrap w:val="0"/>
            <w:vAlign w:val="center"/>
          </w:tcPr>
          <w:p w14:paraId="44458A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44419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31" w:type="pct"/>
            <w:tcBorders>
              <w:top w:val="single" w:color="000000" w:sz="4" w:space="0"/>
              <w:left w:val="single" w:color="000000" w:sz="4" w:space="0"/>
              <w:bottom w:val="single" w:color="000000" w:sz="4" w:space="0"/>
              <w:right w:val="single" w:color="000000" w:sz="4" w:space="0"/>
            </w:tcBorders>
            <w:noWrap w:val="0"/>
            <w:vAlign w:val="center"/>
          </w:tcPr>
          <w:p w14:paraId="26CDF4B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7F78219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1407" w:type="pct"/>
            <w:tcBorders>
              <w:top w:val="single" w:color="000000" w:sz="4" w:space="0"/>
              <w:left w:val="single" w:color="000000" w:sz="4" w:space="0"/>
              <w:bottom w:val="single" w:color="000000" w:sz="4" w:space="0"/>
              <w:right w:val="single" w:color="000000" w:sz="4" w:space="0"/>
            </w:tcBorders>
            <w:noWrap w:val="0"/>
            <w:vAlign w:val="center"/>
          </w:tcPr>
          <w:p w14:paraId="4E00D5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08AA85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79FE69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760955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437" w:type="pct"/>
            <w:tcBorders>
              <w:top w:val="single" w:color="000000" w:sz="4" w:space="0"/>
              <w:left w:val="single" w:color="000000" w:sz="4" w:space="0"/>
              <w:bottom w:val="single" w:color="000000" w:sz="4" w:space="0"/>
              <w:right w:val="single" w:color="000000" w:sz="4" w:space="0"/>
            </w:tcBorders>
            <w:noWrap w:val="0"/>
            <w:vAlign w:val="center"/>
          </w:tcPr>
          <w:p w14:paraId="57CE155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98" w:type="pct"/>
            <w:tcBorders>
              <w:top w:val="single" w:color="000000" w:sz="4" w:space="0"/>
              <w:left w:val="single" w:color="000000" w:sz="4" w:space="0"/>
              <w:bottom w:val="single" w:color="000000" w:sz="4" w:space="0"/>
              <w:right w:val="single" w:color="000000" w:sz="4" w:space="0"/>
            </w:tcBorders>
            <w:noWrap w:val="0"/>
            <w:vAlign w:val="center"/>
          </w:tcPr>
          <w:p w14:paraId="75E95C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39F31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31" w:type="pct"/>
            <w:tcBorders>
              <w:top w:val="single" w:color="000000" w:sz="4" w:space="0"/>
              <w:left w:val="single" w:color="000000" w:sz="4" w:space="0"/>
              <w:bottom w:val="single" w:color="000000" w:sz="4" w:space="0"/>
              <w:right w:val="single" w:color="000000" w:sz="4" w:space="0"/>
            </w:tcBorders>
            <w:noWrap w:val="0"/>
            <w:vAlign w:val="center"/>
          </w:tcPr>
          <w:p w14:paraId="34F1B24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6CA07D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1407" w:type="pct"/>
            <w:tcBorders>
              <w:top w:val="single" w:color="000000" w:sz="4" w:space="0"/>
              <w:left w:val="single" w:color="000000" w:sz="4" w:space="0"/>
              <w:bottom w:val="single" w:color="000000" w:sz="4" w:space="0"/>
              <w:right w:val="single" w:color="000000" w:sz="4" w:space="0"/>
            </w:tcBorders>
            <w:noWrap w:val="0"/>
            <w:vAlign w:val="center"/>
          </w:tcPr>
          <w:p w14:paraId="0A686F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0D0ADF7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08D9E84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418FEC4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437" w:type="pct"/>
            <w:tcBorders>
              <w:top w:val="single" w:color="000000" w:sz="4" w:space="0"/>
              <w:left w:val="single" w:color="000000" w:sz="4" w:space="0"/>
              <w:bottom w:val="single" w:color="000000" w:sz="4" w:space="0"/>
              <w:right w:val="single" w:color="000000" w:sz="4" w:space="0"/>
            </w:tcBorders>
            <w:noWrap w:val="0"/>
            <w:vAlign w:val="center"/>
          </w:tcPr>
          <w:p w14:paraId="2FEBFA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98" w:type="pct"/>
            <w:tcBorders>
              <w:top w:val="single" w:color="000000" w:sz="4" w:space="0"/>
              <w:left w:val="single" w:color="000000" w:sz="4" w:space="0"/>
              <w:bottom w:val="single" w:color="000000" w:sz="4" w:space="0"/>
              <w:right w:val="single" w:color="000000" w:sz="4" w:space="0"/>
            </w:tcBorders>
            <w:noWrap w:val="0"/>
            <w:vAlign w:val="center"/>
          </w:tcPr>
          <w:p w14:paraId="7B7CFA2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5858D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31" w:type="pct"/>
            <w:tcBorders>
              <w:top w:val="single" w:color="000000" w:sz="4" w:space="0"/>
              <w:left w:val="single" w:color="000000" w:sz="4" w:space="0"/>
              <w:bottom w:val="single" w:color="000000" w:sz="4" w:space="0"/>
              <w:right w:val="single" w:color="000000" w:sz="4" w:space="0"/>
            </w:tcBorders>
            <w:noWrap w:val="0"/>
            <w:vAlign w:val="center"/>
          </w:tcPr>
          <w:p w14:paraId="073BDEA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7A57E34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1407" w:type="pct"/>
            <w:tcBorders>
              <w:top w:val="single" w:color="000000" w:sz="4" w:space="0"/>
              <w:left w:val="single" w:color="000000" w:sz="4" w:space="0"/>
              <w:bottom w:val="single" w:color="000000" w:sz="4" w:space="0"/>
              <w:right w:val="single" w:color="000000" w:sz="4" w:space="0"/>
            </w:tcBorders>
            <w:noWrap w:val="0"/>
            <w:vAlign w:val="center"/>
          </w:tcPr>
          <w:p w14:paraId="7C8D07B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7394712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0D905D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2C34D3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437" w:type="pct"/>
            <w:tcBorders>
              <w:top w:val="single" w:color="000000" w:sz="4" w:space="0"/>
              <w:left w:val="single" w:color="000000" w:sz="4" w:space="0"/>
              <w:bottom w:val="single" w:color="000000" w:sz="4" w:space="0"/>
              <w:right w:val="single" w:color="000000" w:sz="4" w:space="0"/>
            </w:tcBorders>
            <w:noWrap w:val="0"/>
            <w:vAlign w:val="center"/>
          </w:tcPr>
          <w:p w14:paraId="3B09EF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98" w:type="pct"/>
            <w:tcBorders>
              <w:top w:val="single" w:color="000000" w:sz="4" w:space="0"/>
              <w:left w:val="single" w:color="000000" w:sz="4" w:space="0"/>
              <w:bottom w:val="single" w:color="000000" w:sz="4" w:space="0"/>
              <w:right w:val="single" w:color="000000" w:sz="4" w:space="0"/>
            </w:tcBorders>
            <w:noWrap w:val="0"/>
            <w:vAlign w:val="center"/>
          </w:tcPr>
          <w:p w14:paraId="248252B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3E053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31" w:type="pct"/>
            <w:tcBorders>
              <w:top w:val="single" w:color="000000" w:sz="4" w:space="0"/>
              <w:left w:val="single" w:color="000000" w:sz="4" w:space="0"/>
              <w:bottom w:val="single" w:color="000000" w:sz="4" w:space="0"/>
              <w:right w:val="single" w:color="000000" w:sz="4" w:space="0"/>
            </w:tcBorders>
            <w:noWrap w:val="0"/>
            <w:vAlign w:val="center"/>
          </w:tcPr>
          <w:p w14:paraId="2A3C974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13BB52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1407" w:type="pct"/>
            <w:tcBorders>
              <w:top w:val="single" w:color="000000" w:sz="4" w:space="0"/>
              <w:left w:val="single" w:color="000000" w:sz="4" w:space="0"/>
              <w:bottom w:val="single" w:color="000000" w:sz="4" w:space="0"/>
              <w:right w:val="single" w:color="000000" w:sz="4" w:space="0"/>
            </w:tcBorders>
            <w:noWrap w:val="0"/>
            <w:vAlign w:val="center"/>
          </w:tcPr>
          <w:p w14:paraId="345EADB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04D522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239CE0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15AED83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437" w:type="pct"/>
            <w:tcBorders>
              <w:top w:val="single" w:color="000000" w:sz="4" w:space="0"/>
              <w:left w:val="single" w:color="000000" w:sz="4" w:space="0"/>
              <w:bottom w:val="single" w:color="000000" w:sz="4" w:space="0"/>
              <w:right w:val="single" w:color="000000" w:sz="4" w:space="0"/>
            </w:tcBorders>
            <w:noWrap w:val="0"/>
            <w:vAlign w:val="center"/>
          </w:tcPr>
          <w:p w14:paraId="1451FDD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98" w:type="pct"/>
            <w:tcBorders>
              <w:top w:val="single" w:color="000000" w:sz="4" w:space="0"/>
              <w:left w:val="single" w:color="000000" w:sz="4" w:space="0"/>
              <w:bottom w:val="single" w:color="000000" w:sz="4" w:space="0"/>
              <w:right w:val="single" w:color="000000" w:sz="4" w:space="0"/>
            </w:tcBorders>
            <w:noWrap w:val="0"/>
            <w:vAlign w:val="center"/>
          </w:tcPr>
          <w:p w14:paraId="551A09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58A96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31" w:type="pct"/>
            <w:tcBorders>
              <w:top w:val="single" w:color="000000" w:sz="4" w:space="0"/>
              <w:left w:val="single" w:color="000000" w:sz="4" w:space="0"/>
              <w:bottom w:val="single" w:color="000000" w:sz="4" w:space="0"/>
              <w:right w:val="single" w:color="000000" w:sz="4" w:space="0"/>
            </w:tcBorders>
            <w:noWrap w:val="0"/>
            <w:vAlign w:val="center"/>
          </w:tcPr>
          <w:p w14:paraId="5C1EEA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716269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1407" w:type="pct"/>
            <w:tcBorders>
              <w:top w:val="single" w:color="000000" w:sz="4" w:space="0"/>
              <w:left w:val="single" w:color="000000" w:sz="4" w:space="0"/>
              <w:bottom w:val="single" w:color="000000" w:sz="4" w:space="0"/>
              <w:right w:val="single" w:color="000000" w:sz="4" w:space="0"/>
            </w:tcBorders>
            <w:noWrap w:val="0"/>
            <w:vAlign w:val="center"/>
          </w:tcPr>
          <w:p w14:paraId="45901B0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0BE965D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542AB6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6162CEB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437" w:type="pct"/>
            <w:tcBorders>
              <w:top w:val="single" w:color="000000" w:sz="4" w:space="0"/>
              <w:left w:val="single" w:color="000000" w:sz="4" w:space="0"/>
              <w:bottom w:val="single" w:color="000000" w:sz="4" w:space="0"/>
              <w:right w:val="single" w:color="000000" w:sz="4" w:space="0"/>
            </w:tcBorders>
            <w:noWrap w:val="0"/>
            <w:vAlign w:val="center"/>
          </w:tcPr>
          <w:p w14:paraId="089A01C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98" w:type="pct"/>
            <w:tcBorders>
              <w:top w:val="single" w:color="000000" w:sz="4" w:space="0"/>
              <w:left w:val="single" w:color="000000" w:sz="4" w:space="0"/>
              <w:bottom w:val="single" w:color="000000" w:sz="4" w:space="0"/>
              <w:right w:val="single" w:color="000000" w:sz="4" w:space="0"/>
            </w:tcBorders>
            <w:noWrap w:val="0"/>
            <w:vAlign w:val="center"/>
          </w:tcPr>
          <w:p w14:paraId="71A329E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42B8A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31" w:type="pct"/>
            <w:tcBorders>
              <w:top w:val="single" w:color="000000" w:sz="4" w:space="0"/>
              <w:left w:val="single" w:color="000000" w:sz="4" w:space="0"/>
              <w:bottom w:val="single" w:color="000000" w:sz="4" w:space="0"/>
              <w:right w:val="single" w:color="000000" w:sz="4" w:space="0"/>
            </w:tcBorders>
            <w:noWrap w:val="0"/>
            <w:vAlign w:val="center"/>
          </w:tcPr>
          <w:p w14:paraId="0BA2284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1F60BC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1407" w:type="pct"/>
            <w:tcBorders>
              <w:top w:val="single" w:color="000000" w:sz="4" w:space="0"/>
              <w:left w:val="single" w:color="000000" w:sz="4" w:space="0"/>
              <w:bottom w:val="single" w:color="000000" w:sz="4" w:space="0"/>
              <w:right w:val="single" w:color="000000" w:sz="4" w:space="0"/>
            </w:tcBorders>
            <w:noWrap w:val="0"/>
            <w:vAlign w:val="center"/>
          </w:tcPr>
          <w:p w14:paraId="4699FD2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552252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0E81F06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43AED5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437" w:type="pct"/>
            <w:tcBorders>
              <w:top w:val="single" w:color="000000" w:sz="4" w:space="0"/>
              <w:left w:val="single" w:color="000000" w:sz="4" w:space="0"/>
              <w:bottom w:val="single" w:color="000000" w:sz="4" w:space="0"/>
              <w:right w:val="single" w:color="000000" w:sz="4" w:space="0"/>
            </w:tcBorders>
            <w:noWrap w:val="0"/>
            <w:vAlign w:val="center"/>
          </w:tcPr>
          <w:p w14:paraId="5F1588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98" w:type="pct"/>
            <w:tcBorders>
              <w:top w:val="single" w:color="000000" w:sz="4" w:space="0"/>
              <w:left w:val="single" w:color="000000" w:sz="4" w:space="0"/>
              <w:bottom w:val="single" w:color="000000" w:sz="4" w:space="0"/>
              <w:right w:val="single" w:color="000000" w:sz="4" w:space="0"/>
            </w:tcBorders>
            <w:noWrap w:val="0"/>
            <w:vAlign w:val="center"/>
          </w:tcPr>
          <w:p w14:paraId="2A4A528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0D356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31" w:type="pct"/>
            <w:tcBorders>
              <w:top w:val="single" w:color="000000" w:sz="4" w:space="0"/>
              <w:left w:val="single" w:color="000000" w:sz="4" w:space="0"/>
              <w:bottom w:val="single" w:color="000000" w:sz="4" w:space="0"/>
              <w:right w:val="single" w:color="000000" w:sz="4" w:space="0"/>
            </w:tcBorders>
            <w:noWrap w:val="0"/>
            <w:vAlign w:val="center"/>
          </w:tcPr>
          <w:p w14:paraId="101805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0315593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1407" w:type="pct"/>
            <w:tcBorders>
              <w:top w:val="single" w:color="000000" w:sz="4" w:space="0"/>
              <w:left w:val="single" w:color="000000" w:sz="4" w:space="0"/>
              <w:bottom w:val="single" w:color="000000" w:sz="4" w:space="0"/>
              <w:right w:val="single" w:color="000000" w:sz="4" w:space="0"/>
            </w:tcBorders>
            <w:noWrap w:val="0"/>
            <w:vAlign w:val="center"/>
          </w:tcPr>
          <w:p w14:paraId="20651CD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4BCBA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198717D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47B23D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437" w:type="pct"/>
            <w:tcBorders>
              <w:top w:val="single" w:color="000000" w:sz="4" w:space="0"/>
              <w:left w:val="single" w:color="000000" w:sz="4" w:space="0"/>
              <w:bottom w:val="single" w:color="000000" w:sz="4" w:space="0"/>
              <w:right w:val="single" w:color="000000" w:sz="4" w:space="0"/>
            </w:tcBorders>
            <w:noWrap w:val="0"/>
            <w:vAlign w:val="center"/>
          </w:tcPr>
          <w:p w14:paraId="320044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98" w:type="pct"/>
            <w:tcBorders>
              <w:top w:val="single" w:color="000000" w:sz="4" w:space="0"/>
              <w:left w:val="single" w:color="000000" w:sz="4" w:space="0"/>
              <w:bottom w:val="single" w:color="000000" w:sz="4" w:space="0"/>
              <w:right w:val="single" w:color="000000" w:sz="4" w:space="0"/>
            </w:tcBorders>
            <w:noWrap w:val="0"/>
            <w:vAlign w:val="center"/>
          </w:tcPr>
          <w:p w14:paraId="20A1D6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0E008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31" w:type="pct"/>
            <w:tcBorders>
              <w:top w:val="single" w:color="000000" w:sz="4" w:space="0"/>
              <w:left w:val="single" w:color="000000" w:sz="4" w:space="0"/>
              <w:bottom w:val="single" w:color="000000" w:sz="4" w:space="0"/>
              <w:right w:val="single" w:color="000000" w:sz="4" w:space="0"/>
            </w:tcBorders>
            <w:noWrap w:val="0"/>
            <w:vAlign w:val="center"/>
          </w:tcPr>
          <w:p w14:paraId="50FD62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0DB6F0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1407" w:type="pct"/>
            <w:tcBorders>
              <w:top w:val="single" w:color="000000" w:sz="4" w:space="0"/>
              <w:left w:val="single" w:color="000000" w:sz="4" w:space="0"/>
              <w:bottom w:val="single" w:color="000000" w:sz="4" w:space="0"/>
              <w:right w:val="single" w:color="000000" w:sz="4" w:space="0"/>
            </w:tcBorders>
            <w:noWrap w:val="0"/>
            <w:vAlign w:val="center"/>
          </w:tcPr>
          <w:p w14:paraId="2F3BE4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5E4EDA2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401" w:type="pct"/>
            <w:tcBorders>
              <w:top w:val="single" w:color="000000" w:sz="4" w:space="0"/>
              <w:left w:val="single" w:color="000000" w:sz="4" w:space="0"/>
              <w:bottom w:val="single" w:color="000000" w:sz="4" w:space="0"/>
              <w:right w:val="single" w:color="000000" w:sz="4" w:space="0"/>
            </w:tcBorders>
            <w:noWrap w:val="0"/>
            <w:vAlign w:val="center"/>
          </w:tcPr>
          <w:p w14:paraId="32EDBC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rPr>
            </w:pP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3A1657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437" w:type="pct"/>
            <w:tcBorders>
              <w:top w:val="single" w:color="000000" w:sz="4" w:space="0"/>
              <w:left w:val="single" w:color="000000" w:sz="4" w:space="0"/>
              <w:bottom w:val="single" w:color="000000" w:sz="4" w:space="0"/>
              <w:right w:val="single" w:color="000000" w:sz="4" w:space="0"/>
            </w:tcBorders>
            <w:noWrap w:val="0"/>
            <w:vAlign w:val="center"/>
          </w:tcPr>
          <w:p w14:paraId="10380D5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98" w:type="pct"/>
            <w:tcBorders>
              <w:top w:val="single" w:color="000000" w:sz="4" w:space="0"/>
              <w:left w:val="single" w:color="000000" w:sz="4" w:space="0"/>
              <w:bottom w:val="single" w:color="000000" w:sz="4" w:space="0"/>
              <w:right w:val="single" w:color="000000" w:sz="4" w:space="0"/>
            </w:tcBorders>
            <w:noWrap w:val="0"/>
            <w:vAlign w:val="center"/>
          </w:tcPr>
          <w:p w14:paraId="7E8D26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5BE69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870" w:type="pct"/>
            <w:gridSpan w:val="4"/>
            <w:tcBorders>
              <w:top w:val="single" w:color="000000" w:sz="4" w:space="0"/>
              <w:left w:val="single" w:color="000000" w:sz="4" w:space="0"/>
              <w:bottom w:val="single" w:color="000000" w:sz="4" w:space="0"/>
              <w:right w:val="single" w:color="000000" w:sz="4" w:space="0"/>
            </w:tcBorders>
            <w:noWrap w:val="0"/>
            <w:vAlign w:val="center"/>
          </w:tcPr>
          <w:p w14:paraId="2700861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cs="宋体"/>
                <w:i w:val="0"/>
                <w:iCs w:val="0"/>
                <w:color w:val="auto"/>
                <w:sz w:val="22"/>
                <w:szCs w:val="22"/>
                <w:highlight w:val="none"/>
                <w:u w:val="none"/>
                <w:lang w:eastAsia="zh-CN"/>
              </w:rPr>
              <w:t>合计（投标总价）</w:t>
            </w:r>
          </w:p>
        </w:tc>
        <w:tc>
          <w:tcPr>
            <w:tcW w:w="2129" w:type="pct"/>
            <w:gridSpan w:val="4"/>
            <w:tcBorders>
              <w:top w:val="single" w:color="000000" w:sz="4" w:space="0"/>
              <w:left w:val="single" w:color="000000" w:sz="4" w:space="0"/>
              <w:bottom w:val="single" w:color="000000" w:sz="4" w:space="0"/>
              <w:right w:val="single" w:color="000000" w:sz="4" w:space="0"/>
            </w:tcBorders>
            <w:noWrap w:val="0"/>
            <w:vAlign w:val="center"/>
          </w:tcPr>
          <w:p w14:paraId="300B54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12" w:lineRule="auto"/>
              <w:ind w:left="0" w:right="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bl>
    <w:p w14:paraId="02A26CD4">
      <w:pPr>
        <w:pStyle w:val="8"/>
        <w:rPr>
          <w:rFonts w:hint="eastAsia"/>
          <w:highlight w:val="none"/>
        </w:rPr>
      </w:pPr>
    </w:p>
    <w:p w14:paraId="6799C71C">
      <w:pPr>
        <w:keepNext w:val="0"/>
        <w:keepLines w:val="0"/>
        <w:pageBreakBefore w:val="0"/>
        <w:widowControl/>
        <w:suppressLineNumbers w:val="0"/>
        <w:kinsoku/>
        <w:wordWrap/>
        <w:overflowPunct/>
        <w:topLinePunct w:val="0"/>
        <w:autoSpaceDE/>
        <w:autoSpaceDN/>
        <w:bidi w:val="0"/>
        <w:adjustRightInd/>
        <w:snapToGrid/>
        <w:spacing w:line="480" w:lineRule="auto"/>
        <w:ind w:firstLine="4620" w:firstLineChars="2100"/>
        <w:jc w:val="left"/>
        <w:textAlignment w:val="auto"/>
        <w:rPr>
          <w:color w:val="auto"/>
          <w:sz w:val="22"/>
          <w:szCs w:val="22"/>
          <w:highlight w:val="none"/>
        </w:rPr>
      </w:pPr>
      <w:r>
        <w:rPr>
          <w:rFonts w:hint="eastAsia" w:ascii="宋体" w:hAnsi="宋体" w:eastAsia="宋体" w:cs="宋体"/>
          <w:color w:val="auto"/>
          <w:kern w:val="0"/>
          <w:sz w:val="22"/>
          <w:szCs w:val="22"/>
          <w:highlight w:val="none"/>
          <w:lang w:val="en-US" w:eastAsia="zh-CN" w:bidi="ar"/>
        </w:rPr>
        <w:t>投标人：</w:t>
      </w: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lang w:val="en-US" w:eastAsia="zh-CN" w:bidi="ar"/>
        </w:rPr>
        <w:t xml:space="preserve">（盖投标人公章） </w:t>
      </w:r>
    </w:p>
    <w:p w14:paraId="39695D37">
      <w:pPr>
        <w:keepNext w:val="0"/>
        <w:keepLines w:val="0"/>
        <w:pageBreakBefore w:val="0"/>
        <w:widowControl/>
        <w:suppressLineNumbers w:val="0"/>
        <w:kinsoku/>
        <w:wordWrap/>
        <w:overflowPunct/>
        <w:topLinePunct w:val="0"/>
        <w:autoSpaceDE/>
        <w:autoSpaceDN/>
        <w:bidi w:val="0"/>
        <w:adjustRightInd/>
        <w:snapToGrid/>
        <w:spacing w:line="480" w:lineRule="auto"/>
        <w:ind w:firstLine="3520" w:firstLineChars="1600"/>
        <w:jc w:val="left"/>
        <w:textAlignment w:val="auto"/>
        <w:rPr>
          <w:color w:val="auto"/>
          <w:sz w:val="22"/>
          <w:szCs w:val="22"/>
          <w:highlight w:val="none"/>
        </w:rPr>
      </w:pPr>
      <w:r>
        <w:rPr>
          <w:rFonts w:hint="eastAsia" w:ascii="宋体" w:hAnsi="宋体" w:eastAsia="宋体" w:cs="宋体"/>
          <w:color w:val="auto"/>
          <w:kern w:val="0"/>
          <w:sz w:val="22"/>
          <w:szCs w:val="22"/>
          <w:highlight w:val="none"/>
          <w:lang w:val="en-US" w:eastAsia="zh-CN" w:bidi="ar"/>
        </w:rPr>
        <w:t>法定代表人或其委托代理人：</w:t>
      </w: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lang w:val="en-US" w:eastAsia="zh-CN" w:bidi="ar"/>
        </w:rPr>
        <w:t xml:space="preserve">（签字或盖章） </w:t>
      </w:r>
    </w:p>
    <w:p w14:paraId="1FB3B45F">
      <w:pPr>
        <w:spacing w:line="500" w:lineRule="exact"/>
        <w:jc w:val="right"/>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lang w:val="en-US" w:eastAsia="zh-CN" w:bidi="ar"/>
        </w:rPr>
        <w:t>年</w:t>
      </w: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lang w:val="en-US" w:eastAsia="zh-CN" w:bidi="ar"/>
        </w:rPr>
        <w:t>月</w:t>
      </w: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lang w:val="en-US" w:eastAsia="zh-CN" w:bidi="ar"/>
        </w:rPr>
        <w:t xml:space="preserve">日 </w:t>
      </w:r>
    </w:p>
    <w:p w14:paraId="33ADF304">
      <w:pPr>
        <w:jc w:val="center"/>
        <w:rPr>
          <w:rFonts w:ascii="宋体"/>
          <w:color w:val="auto"/>
          <w:sz w:val="32"/>
          <w:highlight w:val="none"/>
          <w:u w:val="single"/>
        </w:rPr>
      </w:pPr>
    </w:p>
    <w:bookmarkEnd w:id="75"/>
    <w:sectPr>
      <w:pgSz w:w="11906" w:h="16838"/>
      <w:pgMar w:top="1304" w:right="1417" w:bottom="1304" w:left="1417"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nsolas">
    <w:panose1 w:val="020B0609020204030204"/>
    <w:charset w:val="00"/>
    <w:family w:val="modern"/>
    <w:pitch w:val="default"/>
    <w:sig w:usb0="E00006FF" w:usb1="0000FCFF" w:usb2="00000001" w:usb3="00000000" w:csb0="6000019F" w:csb1="DFD7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2A998">
    <w:pPr>
      <w:snapToGrid w:val="0"/>
      <w:jc w:val="center"/>
      <w:rPr>
        <w:rFonts w:ascii="Times New Roman" w:hAnsi="Times New Roman"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44560">
    <w:pPr>
      <w:framePr w:wrap="around" w:vAnchor="text" w:hAnchor="margin" w:xAlign="center" w:y="1"/>
      <w:snapToGrid w:val="0"/>
      <w:jc w:val="left"/>
      <w:rPr>
        <w:rFonts w:ascii="Times New Roman" w:hAnsi="Times New Roman" w:cs="Times New Roman"/>
        <w:sz w:val="18"/>
        <w:szCs w:val="18"/>
      </w:rPr>
    </w:pPr>
    <w:r>
      <w:rPr>
        <w:rFonts w:ascii="Times New Roman" w:hAnsi="Times New Roman" w:cs="Times New Roman"/>
        <w:sz w:val="18"/>
        <w:szCs w:val="18"/>
      </w:rPr>
      <w:fldChar w:fldCharType="begin"/>
    </w:r>
    <w:r>
      <w:rPr>
        <w:rFonts w:cs="Times New Roman"/>
        <w:sz w:val="18"/>
        <w:szCs w:val="18"/>
      </w:rPr>
      <w:instrText xml:space="preserve">PAGE  </w:instrText>
    </w:r>
    <w:r>
      <w:rPr>
        <w:rFonts w:ascii="Times New Roman" w:hAnsi="Times New Roman" w:cs="Times New Roman"/>
        <w:sz w:val="18"/>
        <w:szCs w:val="18"/>
      </w:rPr>
      <w:fldChar w:fldCharType="end"/>
    </w:r>
  </w:p>
  <w:p w14:paraId="2B7DB05D">
    <w:pPr>
      <w:snapToGrid w:val="0"/>
      <w:jc w:val="left"/>
      <w:rPr>
        <w:rFonts w:ascii="Times New Roman" w:hAnsi="Times New Roman" w:cs="Times New Roman"/>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F8A0B">
    <w:pPr>
      <w:snapToGrid w:val="0"/>
      <w:jc w:val="center"/>
      <w:rPr>
        <w:rFonts w:ascii="Times New Roman" w:hAnsi="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A35D8F2">
                          <w:pPr>
                            <w:snapToGrid w:val="0"/>
                            <w:jc w:val="center"/>
                          </w:pPr>
                          <w:r>
                            <w:rPr>
                              <w:rFonts w:ascii="Times New Roman" w:hAnsi="Times New Roman" w:cs="Times New Roman"/>
                              <w:sz w:val="18"/>
                              <w:szCs w:val="18"/>
                            </w:rPr>
                            <w:fldChar w:fldCharType="begin"/>
                          </w:r>
                          <w:r>
                            <w:rPr>
                              <w:rFonts w:cs="Times New Roman"/>
                              <w:sz w:val="18"/>
                              <w:szCs w:val="18"/>
                            </w:rPr>
                            <w:instrText xml:space="preserve"> PAGE </w:instrText>
                          </w:r>
                          <w:r>
                            <w:rPr>
                              <w:rFonts w:ascii="Times New Roman" w:hAnsi="Times New Roman" w:cs="Times New Roman"/>
                              <w:sz w:val="18"/>
                              <w:szCs w:val="18"/>
                            </w:rPr>
                            <w:fldChar w:fldCharType="separate"/>
                          </w:r>
                          <w:r>
                            <w:rPr>
                              <w:rFonts w:cs="Times New Roman"/>
                              <w:sz w:val="18"/>
                              <w:szCs w:val="18"/>
                            </w:rPr>
                            <w:t>25</w:t>
                          </w:r>
                          <w:r>
                            <w:rPr>
                              <w:rFonts w:ascii="Times New Roman" w:hAnsi="Times New Roman" w:cs="Times New Roman"/>
                              <w:sz w:val="18"/>
                              <w:szCs w:val="18"/>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k62VnLAQAAnAMAAA4AAAAAAAAAAQAgAAAAHgEAAGRycy9lMm9E&#10;b2MueG1sUEsFBgAAAAAGAAYAWQEAAFsFAAAAAA==&#10;">
              <v:fill on="f" focussize="0,0"/>
              <v:stroke on="f"/>
              <v:imagedata o:title=""/>
              <o:lock v:ext="edit" aspectratio="f"/>
              <v:textbox inset="0mm,0mm,0mm,0mm" style="mso-fit-shape-to-text:t;">
                <w:txbxContent>
                  <w:p w14:paraId="0A35D8F2">
                    <w:pPr>
                      <w:snapToGrid w:val="0"/>
                      <w:jc w:val="center"/>
                    </w:pPr>
                    <w:r>
                      <w:rPr>
                        <w:rFonts w:ascii="Times New Roman" w:hAnsi="Times New Roman" w:cs="Times New Roman"/>
                        <w:sz w:val="18"/>
                        <w:szCs w:val="18"/>
                      </w:rPr>
                      <w:fldChar w:fldCharType="begin"/>
                    </w:r>
                    <w:r>
                      <w:rPr>
                        <w:rFonts w:cs="Times New Roman"/>
                        <w:sz w:val="18"/>
                        <w:szCs w:val="18"/>
                      </w:rPr>
                      <w:instrText xml:space="preserve"> PAGE </w:instrText>
                    </w:r>
                    <w:r>
                      <w:rPr>
                        <w:rFonts w:ascii="Times New Roman" w:hAnsi="Times New Roman" w:cs="Times New Roman"/>
                        <w:sz w:val="18"/>
                        <w:szCs w:val="18"/>
                      </w:rPr>
                      <w:fldChar w:fldCharType="separate"/>
                    </w:r>
                    <w:r>
                      <w:rPr>
                        <w:rFonts w:cs="Times New Roman"/>
                        <w:sz w:val="18"/>
                        <w:szCs w:val="18"/>
                      </w:rPr>
                      <w:t>25</w:t>
                    </w:r>
                    <w:r>
                      <w:rPr>
                        <w:rFonts w:ascii="Times New Roman" w:hAnsi="Times New Roman" w:cs="Times New Roman"/>
                        <w:sz w:val="18"/>
                        <w:szCs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8C9BD">
    <w:pPr>
      <w:snapToGrid w:val="0"/>
      <w:jc w:val="center"/>
      <w:rPr>
        <w:rFonts w:ascii="Times New Roman" w:hAnsi="Times New Roman" w:cs="Times New Roman"/>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AD00AF"/>
    <w:multiLevelType w:val="singleLevel"/>
    <w:tmpl w:val="C6AD00AF"/>
    <w:lvl w:ilvl="0" w:tentative="0">
      <w:start w:val="1"/>
      <w:numFmt w:val="chineseCounting"/>
      <w:suff w:val="space"/>
      <w:lvlText w:val="第%1章"/>
      <w:lvlJc w:val="left"/>
      <w:rPr>
        <w:rFonts w:hint="eastAsia"/>
      </w:rPr>
    </w:lvl>
  </w:abstractNum>
  <w:abstractNum w:abstractNumId="1">
    <w:nsid w:val="00000002"/>
    <w:multiLevelType w:val="multilevel"/>
    <w:tmpl w:val="00000002"/>
    <w:lvl w:ilvl="0" w:tentative="0">
      <w:start w:val="1"/>
      <w:numFmt w:val="decimal"/>
      <w:pStyle w:val="2"/>
      <w:lvlText w:val="%1."/>
      <w:lvlJc w:val="left"/>
      <w:pPr>
        <w:tabs>
          <w:tab w:val="left" w:pos="851"/>
        </w:tabs>
        <w:ind w:left="851" w:hanging="851"/>
      </w:pPr>
      <w:rPr>
        <w:rFonts w:ascii="Times New Roman" w:hAnsi="Times New Roman" w:eastAsia="宋体" w:cs="Times New Roman"/>
        <w:b/>
        <w:sz w:val="28"/>
      </w:rPr>
    </w:lvl>
    <w:lvl w:ilvl="1" w:tentative="0">
      <w:start w:val="0"/>
      <w:numFmt w:val="none"/>
      <w:pStyle w:val="3"/>
      <w:lvlText w:val=""/>
      <w:lvlJc w:val="left"/>
      <w:pPr>
        <w:tabs>
          <w:tab w:val="left" w:pos="360"/>
        </w:tabs>
      </w:pPr>
      <w:rPr>
        <w:rFonts w:ascii="Times New Roman" w:hAnsi="Times New Roman" w:eastAsia="宋体" w:cs="Times New Roman"/>
        <w:u w:val="none"/>
      </w:rPr>
    </w:lvl>
    <w:lvl w:ilvl="2" w:tentative="0">
      <w:start w:val="0"/>
      <w:numFmt w:val="none"/>
      <w:pStyle w:val="4"/>
      <w:lvlText w:val=""/>
      <w:lvlJc w:val="left"/>
      <w:pPr>
        <w:tabs>
          <w:tab w:val="left" w:pos="360"/>
        </w:tabs>
      </w:pPr>
      <w:rPr>
        <w:rFonts w:ascii="Times New Roman" w:hAnsi="Times New Roman" w:eastAsia="宋体" w:cs="Times New Roman"/>
        <w:u w:val="none"/>
      </w:rPr>
    </w:lvl>
    <w:lvl w:ilvl="3" w:tentative="0">
      <w:start w:val="0"/>
      <w:numFmt w:val="none"/>
      <w:lvlText w:val=""/>
      <w:lvlJc w:val="left"/>
      <w:pPr>
        <w:tabs>
          <w:tab w:val="left" w:pos="360"/>
        </w:tabs>
      </w:pPr>
      <w:rPr>
        <w:rFonts w:ascii="Times New Roman" w:hAnsi="Times New Roman" w:eastAsia="宋体" w:cs="Times New Roman"/>
        <w:u w:val="none"/>
      </w:rPr>
    </w:lvl>
    <w:lvl w:ilvl="4" w:tentative="0">
      <w:start w:val="0"/>
      <w:numFmt w:val="none"/>
      <w:lvlText w:val=""/>
      <w:lvlJc w:val="left"/>
      <w:pPr>
        <w:tabs>
          <w:tab w:val="left" w:pos="360"/>
        </w:tabs>
      </w:pPr>
      <w:rPr>
        <w:rFonts w:ascii="Times New Roman" w:hAnsi="Times New Roman" w:eastAsia="宋体" w:cs="Times New Roman"/>
        <w:u w:val="none"/>
      </w:rPr>
    </w:lvl>
    <w:lvl w:ilvl="5" w:tentative="0">
      <w:start w:val="0"/>
      <w:numFmt w:val="none"/>
      <w:lvlText w:val=""/>
      <w:lvlJc w:val="left"/>
      <w:pPr>
        <w:tabs>
          <w:tab w:val="left" w:pos="360"/>
        </w:tabs>
      </w:pPr>
      <w:rPr>
        <w:rFonts w:ascii="Times New Roman" w:hAnsi="Times New Roman" w:eastAsia="宋体" w:cs="Times New Roman"/>
        <w:u w:val="none"/>
      </w:rPr>
    </w:lvl>
    <w:lvl w:ilvl="6" w:tentative="0">
      <w:start w:val="0"/>
      <w:numFmt w:val="none"/>
      <w:lvlText w:val=""/>
      <w:lvlJc w:val="left"/>
      <w:pPr>
        <w:tabs>
          <w:tab w:val="left" w:pos="360"/>
        </w:tabs>
      </w:pPr>
      <w:rPr>
        <w:rFonts w:ascii="Times New Roman" w:hAnsi="Times New Roman" w:eastAsia="宋体" w:cs="Times New Roman"/>
        <w:u w:val="none"/>
      </w:rPr>
    </w:lvl>
    <w:lvl w:ilvl="7" w:tentative="0">
      <w:start w:val="0"/>
      <w:numFmt w:val="none"/>
      <w:lvlText w:val=""/>
      <w:lvlJc w:val="left"/>
      <w:pPr>
        <w:tabs>
          <w:tab w:val="left" w:pos="360"/>
        </w:tabs>
      </w:pPr>
      <w:rPr>
        <w:rFonts w:ascii="Times New Roman" w:hAnsi="Times New Roman" w:eastAsia="宋体" w:cs="Times New Roman"/>
        <w:u w:val="none"/>
      </w:rPr>
    </w:lvl>
    <w:lvl w:ilvl="8" w:tentative="0">
      <w:start w:val="0"/>
      <w:numFmt w:val="none"/>
      <w:lvlText w:val=""/>
      <w:lvlJc w:val="left"/>
      <w:pPr>
        <w:tabs>
          <w:tab w:val="left" w:pos="360"/>
        </w:tabs>
      </w:pPr>
      <w:rPr>
        <w:rFonts w:ascii="Times New Roman" w:hAnsi="Times New Roman" w:eastAsia="宋体" w:cs="Times New Roman"/>
        <w:u w:val="none"/>
      </w:rPr>
    </w:lvl>
  </w:abstractNum>
  <w:abstractNum w:abstractNumId="2">
    <w:nsid w:val="3CFBCAA1"/>
    <w:multiLevelType w:val="singleLevel"/>
    <w:tmpl w:val="3CFBCAA1"/>
    <w:lvl w:ilvl="0" w:tentative="0">
      <w:start w:val="2"/>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YyZjllY2I2YjQ2NTNiODg2ODllYmNlN2MxODRhYjIifQ=="/>
  </w:docVars>
  <w:rsids>
    <w:rsidRoot w:val="00172A27"/>
    <w:rsid w:val="0004041E"/>
    <w:rsid w:val="000C310A"/>
    <w:rsid w:val="001206B5"/>
    <w:rsid w:val="00132B27"/>
    <w:rsid w:val="00141296"/>
    <w:rsid w:val="00152A80"/>
    <w:rsid w:val="001C22CF"/>
    <w:rsid w:val="00262CBC"/>
    <w:rsid w:val="002C376E"/>
    <w:rsid w:val="002D12EC"/>
    <w:rsid w:val="00303AB2"/>
    <w:rsid w:val="003F2DE8"/>
    <w:rsid w:val="004329A4"/>
    <w:rsid w:val="004442E9"/>
    <w:rsid w:val="00461B8C"/>
    <w:rsid w:val="0049082C"/>
    <w:rsid w:val="00537C28"/>
    <w:rsid w:val="00590040"/>
    <w:rsid w:val="005D0C3B"/>
    <w:rsid w:val="005F45A1"/>
    <w:rsid w:val="00634270"/>
    <w:rsid w:val="00662B34"/>
    <w:rsid w:val="00673A0A"/>
    <w:rsid w:val="006A05D7"/>
    <w:rsid w:val="006B5B72"/>
    <w:rsid w:val="00744928"/>
    <w:rsid w:val="00766CBE"/>
    <w:rsid w:val="007841E3"/>
    <w:rsid w:val="008932BC"/>
    <w:rsid w:val="00897092"/>
    <w:rsid w:val="008C24E1"/>
    <w:rsid w:val="00922C55"/>
    <w:rsid w:val="00950240"/>
    <w:rsid w:val="009D40CC"/>
    <w:rsid w:val="009D7BBD"/>
    <w:rsid w:val="00A23E7B"/>
    <w:rsid w:val="00A5689D"/>
    <w:rsid w:val="00AC35F2"/>
    <w:rsid w:val="00AC5BF3"/>
    <w:rsid w:val="00B72509"/>
    <w:rsid w:val="00BF6D01"/>
    <w:rsid w:val="00CC2BFA"/>
    <w:rsid w:val="00CE6E73"/>
    <w:rsid w:val="00D07594"/>
    <w:rsid w:val="00F546AA"/>
    <w:rsid w:val="00FE0823"/>
    <w:rsid w:val="01422176"/>
    <w:rsid w:val="016855E3"/>
    <w:rsid w:val="018727CA"/>
    <w:rsid w:val="025F4662"/>
    <w:rsid w:val="02D52B76"/>
    <w:rsid w:val="02FB76F6"/>
    <w:rsid w:val="03BC1522"/>
    <w:rsid w:val="042D4647"/>
    <w:rsid w:val="045A3333"/>
    <w:rsid w:val="045F61F0"/>
    <w:rsid w:val="04C312FF"/>
    <w:rsid w:val="04CA4554"/>
    <w:rsid w:val="053D0287"/>
    <w:rsid w:val="056A49B4"/>
    <w:rsid w:val="05726DA2"/>
    <w:rsid w:val="0591547A"/>
    <w:rsid w:val="06147E59"/>
    <w:rsid w:val="06695AAF"/>
    <w:rsid w:val="06D27891"/>
    <w:rsid w:val="07016FB6"/>
    <w:rsid w:val="07100621"/>
    <w:rsid w:val="077C2EBA"/>
    <w:rsid w:val="07A45BF1"/>
    <w:rsid w:val="08122176"/>
    <w:rsid w:val="081C1E89"/>
    <w:rsid w:val="087A38B1"/>
    <w:rsid w:val="087F5A5E"/>
    <w:rsid w:val="089A51C7"/>
    <w:rsid w:val="08CF29C3"/>
    <w:rsid w:val="08E77DA3"/>
    <w:rsid w:val="0955056D"/>
    <w:rsid w:val="09846562"/>
    <w:rsid w:val="0A03043E"/>
    <w:rsid w:val="0AFC412C"/>
    <w:rsid w:val="0B5B0779"/>
    <w:rsid w:val="0B6C599A"/>
    <w:rsid w:val="0BC335EB"/>
    <w:rsid w:val="0BD078AA"/>
    <w:rsid w:val="0C1F39E9"/>
    <w:rsid w:val="0C485DFA"/>
    <w:rsid w:val="0C540FAF"/>
    <w:rsid w:val="0C5F4616"/>
    <w:rsid w:val="0CDB3FE3"/>
    <w:rsid w:val="0D0136D2"/>
    <w:rsid w:val="0D2064FD"/>
    <w:rsid w:val="0D5F4B33"/>
    <w:rsid w:val="0D7A0B9B"/>
    <w:rsid w:val="0EA53D44"/>
    <w:rsid w:val="0EE72957"/>
    <w:rsid w:val="0EEF7473"/>
    <w:rsid w:val="0EFA4090"/>
    <w:rsid w:val="0F16079E"/>
    <w:rsid w:val="0F7041CA"/>
    <w:rsid w:val="0FC04B9D"/>
    <w:rsid w:val="0FC15DFF"/>
    <w:rsid w:val="0FEF171B"/>
    <w:rsid w:val="11446DE0"/>
    <w:rsid w:val="11755E54"/>
    <w:rsid w:val="11A224AD"/>
    <w:rsid w:val="11FF299B"/>
    <w:rsid w:val="121C0488"/>
    <w:rsid w:val="12611B35"/>
    <w:rsid w:val="130C128A"/>
    <w:rsid w:val="13196F1D"/>
    <w:rsid w:val="13611EFF"/>
    <w:rsid w:val="13AF07C8"/>
    <w:rsid w:val="13B04EA5"/>
    <w:rsid w:val="13EC5B17"/>
    <w:rsid w:val="14185A46"/>
    <w:rsid w:val="14AC167F"/>
    <w:rsid w:val="14DD64DF"/>
    <w:rsid w:val="14F238F6"/>
    <w:rsid w:val="15006460"/>
    <w:rsid w:val="150D4395"/>
    <w:rsid w:val="153B3AB4"/>
    <w:rsid w:val="1577395F"/>
    <w:rsid w:val="163763BD"/>
    <w:rsid w:val="165C118C"/>
    <w:rsid w:val="16895CFA"/>
    <w:rsid w:val="16C62AAA"/>
    <w:rsid w:val="17314AFD"/>
    <w:rsid w:val="17BE4E08"/>
    <w:rsid w:val="182B52BA"/>
    <w:rsid w:val="18365A0D"/>
    <w:rsid w:val="1836662B"/>
    <w:rsid w:val="18B21538"/>
    <w:rsid w:val="194D2CE1"/>
    <w:rsid w:val="19584247"/>
    <w:rsid w:val="19772681"/>
    <w:rsid w:val="19B47BE4"/>
    <w:rsid w:val="19C64E0C"/>
    <w:rsid w:val="1A00207B"/>
    <w:rsid w:val="1A4B6070"/>
    <w:rsid w:val="1A6E76E0"/>
    <w:rsid w:val="1A6E7B39"/>
    <w:rsid w:val="1ACE63D1"/>
    <w:rsid w:val="1B575FE0"/>
    <w:rsid w:val="1B721452"/>
    <w:rsid w:val="1B8854CD"/>
    <w:rsid w:val="1B8A7179"/>
    <w:rsid w:val="1BE86D9D"/>
    <w:rsid w:val="1C1D13BE"/>
    <w:rsid w:val="1C50795C"/>
    <w:rsid w:val="1C60574F"/>
    <w:rsid w:val="1C797AE2"/>
    <w:rsid w:val="1C8F31AB"/>
    <w:rsid w:val="1CBA09BB"/>
    <w:rsid w:val="1CD93ADF"/>
    <w:rsid w:val="1CEA368D"/>
    <w:rsid w:val="1CEE13BB"/>
    <w:rsid w:val="1D5F3669"/>
    <w:rsid w:val="1D7E7011"/>
    <w:rsid w:val="1D985489"/>
    <w:rsid w:val="1EDD45AB"/>
    <w:rsid w:val="1EFF4A08"/>
    <w:rsid w:val="1F830163"/>
    <w:rsid w:val="1FA32004"/>
    <w:rsid w:val="1FB27F1C"/>
    <w:rsid w:val="1FB9400D"/>
    <w:rsid w:val="20D56F5F"/>
    <w:rsid w:val="20E43F32"/>
    <w:rsid w:val="21A96FF3"/>
    <w:rsid w:val="21AE3EC6"/>
    <w:rsid w:val="220E11E9"/>
    <w:rsid w:val="22405491"/>
    <w:rsid w:val="224B1C8E"/>
    <w:rsid w:val="22934188"/>
    <w:rsid w:val="22A45EA9"/>
    <w:rsid w:val="22CA378B"/>
    <w:rsid w:val="2304747F"/>
    <w:rsid w:val="23C30A9D"/>
    <w:rsid w:val="242641FB"/>
    <w:rsid w:val="24413E48"/>
    <w:rsid w:val="24960269"/>
    <w:rsid w:val="249A5E14"/>
    <w:rsid w:val="24E66CFE"/>
    <w:rsid w:val="24FE227B"/>
    <w:rsid w:val="250E5D48"/>
    <w:rsid w:val="251D5F8B"/>
    <w:rsid w:val="25234717"/>
    <w:rsid w:val="256C5EFD"/>
    <w:rsid w:val="25B4613F"/>
    <w:rsid w:val="25D32AED"/>
    <w:rsid w:val="26DE497F"/>
    <w:rsid w:val="27070CA1"/>
    <w:rsid w:val="276D6558"/>
    <w:rsid w:val="27A83BE9"/>
    <w:rsid w:val="27D0127F"/>
    <w:rsid w:val="27D6089C"/>
    <w:rsid w:val="280653FC"/>
    <w:rsid w:val="28093D0F"/>
    <w:rsid w:val="28387E31"/>
    <w:rsid w:val="283C2BCC"/>
    <w:rsid w:val="283E1EB5"/>
    <w:rsid w:val="28574FC9"/>
    <w:rsid w:val="28960938"/>
    <w:rsid w:val="28CE7583"/>
    <w:rsid w:val="28DD3D30"/>
    <w:rsid w:val="28F6623E"/>
    <w:rsid w:val="297A55E5"/>
    <w:rsid w:val="2A390483"/>
    <w:rsid w:val="2A9F104E"/>
    <w:rsid w:val="2AC03832"/>
    <w:rsid w:val="2B110340"/>
    <w:rsid w:val="2BB95DFB"/>
    <w:rsid w:val="2BFE151A"/>
    <w:rsid w:val="2C077158"/>
    <w:rsid w:val="2C1D56A8"/>
    <w:rsid w:val="2C393D75"/>
    <w:rsid w:val="2C682BDA"/>
    <w:rsid w:val="2CB35427"/>
    <w:rsid w:val="2CC9360B"/>
    <w:rsid w:val="2D0A3D4B"/>
    <w:rsid w:val="2D636B77"/>
    <w:rsid w:val="2EE51826"/>
    <w:rsid w:val="2EF60050"/>
    <w:rsid w:val="2F0818EA"/>
    <w:rsid w:val="2F553F40"/>
    <w:rsid w:val="2F665E23"/>
    <w:rsid w:val="2F95601C"/>
    <w:rsid w:val="2F9F2831"/>
    <w:rsid w:val="2FAA2B11"/>
    <w:rsid w:val="2FC75471"/>
    <w:rsid w:val="2FEF4C4E"/>
    <w:rsid w:val="2FFB1578"/>
    <w:rsid w:val="300A7A53"/>
    <w:rsid w:val="300D712B"/>
    <w:rsid w:val="303C03AE"/>
    <w:rsid w:val="30456869"/>
    <w:rsid w:val="309335A5"/>
    <w:rsid w:val="30C220DC"/>
    <w:rsid w:val="3122509A"/>
    <w:rsid w:val="315E68E5"/>
    <w:rsid w:val="316867E0"/>
    <w:rsid w:val="318F2C16"/>
    <w:rsid w:val="31C87594"/>
    <w:rsid w:val="31DE5451"/>
    <w:rsid w:val="31EA1228"/>
    <w:rsid w:val="32586854"/>
    <w:rsid w:val="325925CC"/>
    <w:rsid w:val="326351F9"/>
    <w:rsid w:val="32A7158A"/>
    <w:rsid w:val="336B2591"/>
    <w:rsid w:val="33A31A67"/>
    <w:rsid w:val="341C5272"/>
    <w:rsid w:val="3420618E"/>
    <w:rsid w:val="348E6461"/>
    <w:rsid w:val="34F84C0F"/>
    <w:rsid w:val="35123858"/>
    <w:rsid w:val="35BE72A9"/>
    <w:rsid w:val="35E00EF6"/>
    <w:rsid w:val="3656754F"/>
    <w:rsid w:val="36617829"/>
    <w:rsid w:val="368045CB"/>
    <w:rsid w:val="369A2033"/>
    <w:rsid w:val="36C95F72"/>
    <w:rsid w:val="36D93B05"/>
    <w:rsid w:val="376E7C50"/>
    <w:rsid w:val="37E221ED"/>
    <w:rsid w:val="37F74261"/>
    <w:rsid w:val="386363FA"/>
    <w:rsid w:val="38F81A90"/>
    <w:rsid w:val="395A20EA"/>
    <w:rsid w:val="3A0656E8"/>
    <w:rsid w:val="3A3050F0"/>
    <w:rsid w:val="3A6E717D"/>
    <w:rsid w:val="3AB030B2"/>
    <w:rsid w:val="3AC76EFD"/>
    <w:rsid w:val="3BEC1FC7"/>
    <w:rsid w:val="3BFC5ADE"/>
    <w:rsid w:val="3C3A2F53"/>
    <w:rsid w:val="3C612FA3"/>
    <w:rsid w:val="3C917532"/>
    <w:rsid w:val="3CB471A9"/>
    <w:rsid w:val="3CD37305"/>
    <w:rsid w:val="3CDD642B"/>
    <w:rsid w:val="3D457FF0"/>
    <w:rsid w:val="3D68607E"/>
    <w:rsid w:val="3DB555EB"/>
    <w:rsid w:val="3DF616D1"/>
    <w:rsid w:val="3E2E1675"/>
    <w:rsid w:val="3E4D25DE"/>
    <w:rsid w:val="3E834CDC"/>
    <w:rsid w:val="3EA27520"/>
    <w:rsid w:val="3F3D3B96"/>
    <w:rsid w:val="3F5F442D"/>
    <w:rsid w:val="3F62467B"/>
    <w:rsid w:val="3FB71A28"/>
    <w:rsid w:val="40101252"/>
    <w:rsid w:val="4093168B"/>
    <w:rsid w:val="40D151F9"/>
    <w:rsid w:val="40E340D5"/>
    <w:rsid w:val="41316D1A"/>
    <w:rsid w:val="41406E31"/>
    <w:rsid w:val="4191170D"/>
    <w:rsid w:val="41A26586"/>
    <w:rsid w:val="41C64BD0"/>
    <w:rsid w:val="41DC408E"/>
    <w:rsid w:val="420B7597"/>
    <w:rsid w:val="42B17C59"/>
    <w:rsid w:val="430D15DB"/>
    <w:rsid w:val="435306F3"/>
    <w:rsid w:val="442062DB"/>
    <w:rsid w:val="442F6449"/>
    <w:rsid w:val="448F720F"/>
    <w:rsid w:val="44A672C5"/>
    <w:rsid w:val="44BD4F21"/>
    <w:rsid w:val="453D3A02"/>
    <w:rsid w:val="45A97649"/>
    <w:rsid w:val="461042C2"/>
    <w:rsid w:val="463158E2"/>
    <w:rsid w:val="469E1FF1"/>
    <w:rsid w:val="4729393A"/>
    <w:rsid w:val="47403774"/>
    <w:rsid w:val="474F5CEF"/>
    <w:rsid w:val="4811518E"/>
    <w:rsid w:val="48397ADB"/>
    <w:rsid w:val="48680EEB"/>
    <w:rsid w:val="48D65295"/>
    <w:rsid w:val="48DD5BFD"/>
    <w:rsid w:val="48EF04F5"/>
    <w:rsid w:val="48FC4297"/>
    <w:rsid w:val="49133C01"/>
    <w:rsid w:val="498D6937"/>
    <w:rsid w:val="49B122F4"/>
    <w:rsid w:val="4A9E3639"/>
    <w:rsid w:val="4AB83AE9"/>
    <w:rsid w:val="4AD4623B"/>
    <w:rsid w:val="4B057505"/>
    <w:rsid w:val="4B683B54"/>
    <w:rsid w:val="4B92472D"/>
    <w:rsid w:val="4BFE6267"/>
    <w:rsid w:val="4C176887"/>
    <w:rsid w:val="4C194E4E"/>
    <w:rsid w:val="4CAB3CA8"/>
    <w:rsid w:val="4D8C1650"/>
    <w:rsid w:val="4D9E1AAF"/>
    <w:rsid w:val="4DB649DE"/>
    <w:rsid w:val="4DC66910"/>
    <w:rsid w:val="4E127DA7"/>
    <w:rsid w:val="4F0973FC"/>
    <w:rsid w:val="4F684B68"/>
    <w:rsid w:val="4FB82BD0"/>
    <w:rsid w:val="4FED4628"/>
    <w:rsid w:val="50FB2D75"/>
    <w:rsid w:val="51143E36"/>
    <w:rsid w:val="51516E38"/>
    <w:rsid w:val="51B03B5F"/>
    <w:rsid w:val="51E11B02"/>
    <w:rsid w:val="51F53DEF"/>
    <w:rsid w:val="523145CB"/>
    <w:rsid w:val="524904A8"/>
    <w:rsid w:val="52684B1B"/>
    <w:rsid w:val="53141030"/>
    <w:rsid w:val="53287A2D"/>
    <w:rsid w:val="53A4718B"/>
    <w:rsid w:val="540051D7"/>
    <w:rsid w:val="540757BB"/>
    <w:rsid w:val="554A6EE6"/>
    <w:rsid w:val="555D59F2"/>
    <w:rsid w:val="5574786F"/>
    <w:rsid w:val="55AE7793"/>
    <w:rsid w:val="55C514D1"/>
    <w:rsid w:val="55C73B6D"/>
    <w:rsid w:val="55D55DD6"/>
    <w:rsid w:val="55D8392D"/>
    <w:rsid w:val="55EE2EA8"/>
    <w:rsid w:val="55F85269"/>
    <w:rsid w:val="56050C0A"/>
    <w:rsid w:val="56271BF0"/>
    <w:rsid w:val="56734C45"/>
    <w:rsid w:val="569577C7"/>
    <w:rsid w:val="56FA5260"/>
    <w:rsid w:val="56FE48A8"/>
    <w:rsid w:val="57736028"/>
    <w:rsid w:val="577B662C"/>
    <w:rsid w:val="578A4E52"/>
    <w:rsid w:val="57D66B03"/>
    <w:rsid w:val="588616A4"/>
    <w:rsid w:val="58CF5B9D"/>
    <w:rsid w:val="58E51A41"/>
    <w:rsid w:val="59107F31"/>
    <w:rsid w:val="59A3507D"/>
    <w:rsid w:val="5A032C9A"/>
    <w:rsid w:val="5A096CE1"/>
    <w:rsid w:val="5A6D21E2"/>
    <w:rsid w:val="5B052634"/>
    <w:rsid w:val="5B3C1EF7"/>
    <w:rsid w:val="5B955719"/>
    <w:rsid w:val="5BB501C4"/>
    <w:rsid w:val="5BD77512"/>
    <w:rsid w:val="5C8A495A"/>
    <w:rsid w:val="5CB00EB7"/>
    <w:rsid w:val="5CEE7C31"/>
    <w:rsid w:val="5D4800CF"/>
    <w:rsid w:val="5D767966"/>
    <w:rsid w:val="5D77212E"/>
    <w:rsid w:val="5DEA21A7"/>
    <w:rsid w:val="5E001166"/>
    <w:rsid w:val="5E6A153A"/>
    <w:rsid w:val="5EA349F3"/>
    <w:rsid w:val="5EDA2BAD"/>
    <w:rsid w:val="5F227D90"/>
    <w:rsid w:val="5F382FDE"/>
    <w:rsid w:val="5F4A198B"/>
    <w:rsid w:val="5F70492E"/>
    <w:rsid w:val="5F8C552E"/>
    <w:rsid w:val="5FAE6866"/>
    <w:rsid w:val="5FBD567A"/>
    <w:rsid w:val="5FC60D76"/>
    <w:rsid w:val="5FDE3D5F"/>
    <w:rsid w:val="600132E1"/>
    <w:rsid w:val="60A65DC5"/>
    <w:rsid w:val="60D97017"/>
    <w:rsid w:val="6134314C"/>
    <w:rsid w:val="61DF2ED9"/>
    <w:rsid w:val="620C0104"/>
    <w:rsid w:val="62254166"/>
    <w:rsid w:val="632F0CA3"/>
    <w:rsid w:val="636756DD"/>
    <w:rsid w:val="644A7E43"/>
    <w:rsid w:val="64765452"/>
    <w:rsid w:val="64A8720D"/>
    <w:rsid w:val="64D81563"/>
    <w:rsid w:val="64F832FA"/>
    <w:rsid w:val="65726DEA"/>
    <w:rsid w:val="660D1128"/>
    <w:rsid w:val="661737E3"/>
    <w:rsid w:val="662A71E3"/>
    <w:rsid w:val="666327FA"/>
    <w:rsid w:val="669A40B9"/>
    <w:rsid w:val="6753700F"/>
    <w:rsid w:val="67676AB1"/>
    <w:rsid w:val="68490412"/>
    <w:rsid w:val="684D58E1"/>
    <w:rsid w:val="68B9707D"/>
    <w:rsid w:val="69110F2F"/>
    <w:rsid w:val="69B14215"/>
    <w:rsid w:val="69D42687"/>
    <w:rsid w:val="6A997B49"/>
    <w:rsid w:val="6B145EB0"/>
    <w:rsid w:val="6B31063F"/>
    <w:rsid w:val="6B4A2B9F"/>
    <w:rsid w:val="6B574BF4"/>
    <w:rsid w:val="6BDE353B"/>
    <w:rsid w:val="6BDF1AD8"/>
    <w:rsid w:val="6BE16D8A"/>
    <w:rsid w:val="6BE20256"/>
    <w:rsid w:val="6BF858A7"/>
    <w:rsid w:val="6C2947E2"/>
    <w:rsid w:val="6C3F7D48"/>
    <w:rsid w:val="6C4E3232"/>
    <w:rsid w:val="6C53185F"/>
    <w:rsid w:val="6C5703CB"/>
    <w:rsid w:val="6CA905A6"/>
    <w:rsid w:val="6CD646CF"/>
    <w:rsid w:val="6D793205"/>
    <w:rsid w:val="6DF70231"/>
    <w:rsid w:val="6E2F5A53"/>
    <w:rsid w:val="6E60185D"/>
    <w:rsid w:val="6ED53C7D"/>
    <w:rsid w:val="6EFB539A"/>
    <w:rsid w:val="6F3C482C"/>
    <w:rsid w:val="6F502BCE"/>
    <w:rsid w:val="6FB10092"/>
    <w:rsid w:val="6FD35191"/>
    <w:rsid w:val="6FDF0181"/>
    <w:rsid w:val="700520A4"/>
    <w:rsid w:val="701E2184"/>
    <w:rsid w:val="704754B0"/>
    <w:rsid w:val="70676B0B"/>
    <w:rsid w:val="70B341C1"/>
    <w:rsid w:val="70E433CD"/>
    <w:rsid w:val="718F47F3"/>
    <w:rsid w:val="71BB1223"/>
    <w:rsid w:val="72C129D1"/>
    <w:rsid w:val="73462A4D"/>
    <w:rsid w:val="7363539B"/>
    <w:rsid w:val="739E657C"/>
    <w:rsid w:val="73FF4B51"/>
    <w:rsid w:val="741076D4"/>
    <w:rsid w:val="747F3CA4"/>
    <w:rsid w:val="74DC1017"/>
    <w:rsid w:val="757566C5"/>
    <w:rsid w:val="75792388"/>
    <w:rsid w:val="75C72354"/>
    <w:rsid w:val="76431829"/>
    <w:rsid w:val="7651689B"/>
    <w:rsid w:val="76ED0E7A"/>
    <w:rsid w:val="76F105F2"/>
    <w:rsid w:val="7786477F"/>
    <w:rsid w:val="779276DF"/>
    <w:rsid w:val="77C17FC5"/>
    <w:rsid w:val="77CA1222"/>
    <w:rsid w:val="77FB34A5"/>
    <w:rsid w:val="78016355"/>
    <w:rsid w:val="78061E7B"/>
    <w:rsid w:val="789A270A"/>
    <w:rsid w:val="78E33F6B"/>
    <w:rsid w:val="792410CB"/>
    <w:rsid w:val="79667075"/>
    <w:rsid w:val="79D20267"/>
    <w:rsid w:val="7A4112C6"/>
    <w:rsid w:val="7A676094"/>
    <w:rsid w:val="7AF455B0"/>
    <w:rsid w:val="7AFEE87B"/>
    <w:rsid w:val="7B285C2A"/>
    <w:rsid w:val="7B341307"/>
    <w:rsid w:val="7B3D469F"/>
    <w:rsid w:val="7B486307"/>
    <w:rsid w:val="7BAE6AB2"/>
    <w:rsid w:val="7BBF19DC"/>
    <w:rsid w:val="7C102EEA"/>
    <w:rsid w:val="7C1E08F6"/>
    <w:rsid w:val="7C320ED6"/>
    <w:rsid w:val="7C3F7F59"/>
    <w:rsid w:val="7C4428ED"/>
    <w:rsid w:val="7C52743D"/>
    <w:rsid w:val="7C8B5CE2"/>
    <w:rsid w:val="7CA56D81"/>
    <w:rsid w:val="7CB376E4"/>
    <w:rsid w:val="7CBB5776"/>
    <w:rsid w:val="7D217703"/>
    <w:rsid w:val="7D2A660C"/>
    <w:rsid w:val="7D781125"/>
    <w:rsid w:val="7DB40B34"/>
    <w:rsid w:val="7DFD05C1"/>
    <w:rsid w:val="7DFEC8F2"/>
    <w:rsid w:val="7E161C15"/>
    <w:rsid w:val="7E370FE0"/>
    <w:rsid w:val="7E451C35"/>
    <w:rsid w:val="7E487AF6"/>
    <w:rsid w:val="7E532DEE"/>
    <w:rsid w:val="7E991353"/>
    <w:rsid w:val="7EE27C46"/>
    <w:rsid w:val="7EE34CC4"/>
    <w:rsid w:val="7EF2247D"/>
    <w:rsid w:val="7F003179"/>
    <w:rsid w:val="7F116BFC"/>
    <w:rsid w:val="7F6C5F74"/>
    <w:rsid w:val="7F765870"/>
    <w:rsid w:val="7FBC6D74"/>
    <w:rsid w:val="A3BBD7D7"/>
    <w:rsid w:val="A7E96457"/>
    <w:rsid w:val="BEABAD92"/>
    <w:rsid w:val="BEFF3530"/>
    <w:rsid w:val="BFFD0EDD"/>
    <w:rsid w:val="D6FBFD93"/>
    <w:rsid w:val="DB6CBE9F"/>
    <w:rsid w:val="FF6EB627"/>
    <w:rsid w:val="FFB6600F"/>
    <w:rsid w:val="FFF9BABE"/>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link w:val="43"/>
    <w:autoRedefine/>
    <w:qFormat/>
    <w:uiPriority w:val="0"/>
    <w:pPr>
      <w:keepNext/>
      <w:widowControl/>
      <w:numPr>
        <w:ilvl w:val="0"/>
        <w:numId w:val="1"/>
      </w:numPr>
      <w:spacing w:before="240" w:after="60"/>
      <w:jc w:val="center"/>
      <w:outlineLvl w:val="0"/>
    </w:pPr>
    <w:rPr>
      <w:rFonts w:eastAsia="宋体" w:cs="Times New Roman"/>
      <w:b/>
      <w:kern w:val="44"/>
      <w:sz w:val="44"/>
      <w:szCs w:val="24"/>
    </w:rPr>
  </w:style>
  <w:style w:type="paragraph" w:styleId="3">
    <w:name w:val="heading 2"/>
    <w:basedOn w:val="1"/>
    <w:next w:val="1"/>
    <w:link w:val="44"/>
    <w:autoRedefine/>
    <w:qFormat/>
    <w:uiPriority w:val="0"/>
    <w:pPr>
      <w:keepNext/>
      <w:widowControl/>
      <w:numPr>
        <w:ilvl w:val="1"/>
        <w:numId w:val="1"/>
      </w:numPr>
      <w:spacing w:before="240" w:after="60"/>
      <w:jc w:val="center"/>
      <w:outlineLvl w:val="1"/>
    </w:pPr>
    <w:rPr>
      <w:rFonts w:ascii="Cambria" w:hAnsi="Cambria" w:eastAsia="宋体" w:cs="Times New Roman"/>
      <w:b/>
      <w:kern w:val="0"/>
      <w:sz w:val="36"/>
      <w:szCs w:val="24"/>
    </w:rPr>
  </w:style>
  <w:style w:type="paragraph" w:styleId="4">
    <w:name w:val="heading 3"/>
    <w:basedOn w:val="1"/>
    <w:next w:val="1"/>
    <w:link w:val="45"/>
    <w:autoRedefine/>
    <w:qFormat/>
    <w:uiPriority w:val="0"/>
    <w:pPr>
      <w:keepNext/>
      <w:widowControl/>
      <w:numPr>
        <w:ilvl w:val="2"/>
        <w:numId w:val="1"/>
      </w:numPr>
      <w:tabs>
        <w:tab w:val="left" w:pos="851"/>
      </w:tabs>
      <w:spacing w:before="240" w:after="60"/>
      <w:ind w:left="851" w:hanging="851"/>
      <w:jc w:val="left"/>
      <w:outlineLvl w:val="2"/>
    </w:pPr>
    <w:rPr>
      <w:rFonts w:hAnsi="Times New Roman" w:cs="Times New Roman"/>
      <w:b/>
      <w:kern w:val="0"/>
      <w:sz w:val="32"/>
      <w:szCs w:val="20"/>
    </w:rPr>
  </w:style>
  <w:style w:type="character" w:default="1" w:styleId="25">
    <w:name w:val="Default Paragraph Font"/>
    <w:autoRedefine/>
    <w:semiHidden/>
    <w:unhideWhenUsed/>
    <w:qFormat/>
    <w:uiPriority w:val="1"/>
  </w:style>
  <w:style w:type="table" w:default="1" w:styleId="23">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autoRedefine/>
    <w:unhideWhenUsed/>
    <w:qFormat/>
    <w:uiPriority w:val="99"/>
    <w:pPr>
      <w:ind w:firstLine="420" w:firstLineChars="200"/>
    </w:pPr>
    <w:rPr>
      <w:rFonts w:ascii="Times New Roman" w:hAnsi="Times New Roman"/>
      <w:szCs w:val="24"/>
    </w:rPr>
  </w:style>
  <w:style w:type="paragraph" w:styleId="6">
    <w:name w:val="Document Map"/>
    <w:basedOn w:val="1"/>
    <w:link w:val="46"/>
    <w:autoRedefine/>
    <w:qFormat/>
    <w:uiPriority w:val="0"/>
    <w:rPr>
      <w:rFonts w:ascii="宋体" w:cs="Times New Roman"/>
      <w:kern w:val="0"/>
      <w:sz w:val="18"/>
      <w:szCs w:val="18"/>
    </w:rPr>
  </w:style>
  <w:style w:type="paragraph" w:styleId="7">
    <w:name w:val="annotation text"/>
    <w:basedOn w:val="1"/>
    <w:link w:val="47"/>
    <w:autoRedefine/>
    <w:qFormat/>
    <w:uiPriority w:val="0"/>
    <w:pPr>
      <w:jc w:val="left"/>
    </w:pPr>
    <w:rPr>
      <w:rFonts w:cs="Times New Roman"/>
      <w:kern w:val="0"/>
      <w:szCs w:val="21"/>
    </w:rPr>
  </w:style>
  <w:style w:type="paragraph" w:styleId="8">
    <w:name w:val="Body Text"/>
    <w:basedOn w:val="1"/>
    <w:next w:val="9"/>
    <w:link w:val="48"/>
    <w:autoRedefine/>
    <w:qFormat/>
    <w:uiPriority w:val="0"/>
    <w:rPr>
      <w:rFonts w:cs="Times New Roman"/>
      <w:kern w:val="0"/>
      <w:szCs w:val="21"/>
    </w:rPr>
  </w:style>
  <w:style w:type="paragraph" w:styleId="9">
    <w:name w:val="toc 2"/>
    <w:basedOn w:val="1"/>
    <w:next w:val="1"/>
    <w:autoRedefine/>
    <w:qFormat/>
    <w:uiPriority w:val="39"/>
    <w:pPr>
      <w:ind w:left="420" w:leftChars="200"/>
    </w:pPr>
    <w:rPr>
      <w:rFonts w:ascii="Times New Roman" w:hAnsi="Times New Roman" w:cs="Times New Roman"/>
      <w:szCs w:val="24"/>
    </w:rPr>
  </w:style>
  <w:style w:type="paragraph" w:styleId="10">
    <w:name w:val="Body Text Indent"/>
    <w:basedOn w:val="1"/>
    <w:link w:val="49"/>
    <w:autoRedefine/>
    <w:qFormat/>
    <w:uiPriority w:val="0"/>
    <w:pPr>
      <w:spacing w:after="120"/>
      <w:ind w:left="420" w:leftChars="200"/>
    </w:pPr>
    <w:rPr>
      <w:rFonts w:cs="Times New Roman"/>
      <w:kern w:val="0"/>
      <w:szCs w:val="21"/>
    </w:rPr>
  </w:style>
  <w:style w:type="paragraph" w:styleId="11">
    <w:name w:val="Plain Text"/>
    <w:basedOn w:val="1"/>
    <w:link w:val="50"/>
    <w:autoRedefine/>
    <w:qFormat/>
    <w:uiPriority w:val="0"/>
    <w:rPr>
      <w:rFonts w:ascii="宋体" w:hAnsi="Courier New" w:cs="Times New Roman"/>
      <w:kern w:val="0"/>
      <w:szCs w:val="21"/>
    </w:rPr>
  </w:style>
  <w:style w:type="paragraph" w:styleId="12">
    <w:name w:val="Date"/>
    <w:basedOn w:val="1"/>
    <w:next w:val="1"/>
    <w:link w:val="51"/>
    <w:autoRedefine/>
    <w:qFormat/>
    <w:uiPriority w:val="0"/>
    <w:pPr>
      <w:ind w:left="100" w:leftChars="2500"/>
    </w:pPr>
    <w:rPr>
      <w:rFonts w:cs="Times New Roman"/>
      <w:kern w:val="0"/>
      <w:szCs w:val="21"/>
    </w:rPr>
  </w:style>
  <w:style w:type="paragraph" w:styleId="13">
    <w:name w:val="Balloon Text"/>
    <w:basedOn w:val="1"/>
    <w:link w:val="52"/>
    <w:autoRedefine/>
    <w:qFormat/>
    <w:uiPriority w:val="0"/>
    <w:rPr>
      <w:rFonts w:cs="Times New Roman"/>
      <w:kern w:val="0"/>
      <w:sz w:val="18"/>
      <w:szCs w:val="18"/>
    </w:rPr>
  </w:style>
  <w:style w:type="paragraph" w:styleId="14">
    <w:name w:val="footer"/>
    <w:basedOn w:val="1"/>
    <w:link w:val="42"/>
    <w:autoRedefine/>
    <w:qFormat/>
    <w:uiPriority w:val="0"/>
    <w:pPr>
      <w:tabs>
        <w:tab w:val="center" w:pos="4153"/>
        <w:tab w:val="right" w:pos="8306"/>
      </w:tabs>
      <w:snapToGrid w:val="0"/>
      <w:jc w:val="left"/>
    </w:pPr>
    <w:rPr>
      <w:sz w:val="18"/>
      <w:szCs w:val="18"/>
    </w:rPr>
  </w:style>
  <w:style w:type="paragraph" w:styleId="15">
    <w:name w:val="header"/>
    <w:basedOn w:val="1"/>
    <w:link w:val="41"/>
    <w:autoRedefine/>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autoRedefine/>
    <w:qFormat/>
    <w:uiPriority w:val="39"/>
    <w:rPr>
      <w:rFonts w:ascii="Times New Roman" w:hAnsi="Times New Roman" w:cs="Times New Roman"/>
      <w:szCs w:val="24"/>
    </w:rPr>
  </w:style>
  <w:style w:type="paragraph" w:styleId="17">
    <w:name w:val="Subtitle"/>
    <w:basedOn w:val="1"/>
    <w:next w:val="1"/>
    <w:autoRedefine/>
    <w:qFormat/>
    <w:uiPriority w:val="0"/>
    <w:pPr>
      <w:spacing w:before="240" w:after="60" w:line="312" w:lineRule="auto"/>
      <w:jc w:val="center"/>
      <w:outlineLvl w:val="1"/>
    </w:pPr>
    <w:rPr>
      <w:rFonts w:ascii="Cambria" w:hAnsi="Cambria"/>
      <w:b/>
      <w:bCs/>
      <w:kern w:val="28"/>
      <w:sz w:val="32"/>
      <w:szCs w:val="32"/>
    </w:rPr>
  </w:style>
  <w:style w:type="paragraph" w:styleId="18">
    <w:name w:val="Body Text Indent 3"/>
    <w:basedOn w:val="1"/>
    <w:link w:val="53"/>
    <w:autoRedefine/>
    <w:qFormat/>
    <w:uiPriority w:val="0"/>
    <w:pPr>
      <w:spacing w:after="120"/>
      <w:ind w:left="420" w:leftChars="200"/>
    </w:pPr>
    <w:rPr>
      <w:rFonts w:cs="Times New Roman"/>
      <w:kern w:val="0"/>
      <w:sz w:val="16"/>
      <w:szCs w:val="16"/>
    </w:rPr>
  </w:style>
  <w:style w:type="paragraph" w:styleId="19">
    <w:name w:val="Body Text 2"/>
    <w:basedOn w:val="1"/>
    <w:next w:val="8"/>
    <w:autoRedefine/>
    <w:unhideWhenUsed/>
    <w:qFormat/>
    <w:uiPriority w:val="99"/>
    <w:pPr>
      <w:spacing w:after="120" w:line="480" w:lineRule="auto"/>
      <w:ind w:firstLine="420" w:firstLineChars="200"/>
      <w:jc w:val="left"/>
    </w:pPr>
    <w:rPr>
      <w:szCs w:val="20"/>
    </w:rPr>
  </w:style>
  <w:style w:type="paragraph" w:styleId="20">
    <w:name w:val="Normal (Web)"/>
    <w:basedOn w:val="1"/>
    <w:autoRedefine/>
    <w:qFormat/>
    <w:uiPriority w:val="0"/>
    <w:pPr>
      <w:widowControl/>
      <w:spacing w:before="100" w:beforeAutospacing="1" w:after="100" w:afterAutospacing="1" w:line="320" w:lineRule="atLeast"/>
      <w:jc w:val="left"/>
    </w:pPr>
    <w:rPr>
      <w:rFonts w:ascii="宋体" w:hAnsi="宋体" w:cs="Times New Roman"/>
      <w:kern w:val="0"/>
      <w:sz w:val="18"/>
      <w:szCs w:val="18"/>
    </w:rPr>
  </w:style>
  <w:style w:type="paragraph" w:styleId="21">
    <w:name w:val="annotation subject"/>
    <w:basedOn w:val="7"/>
    <w:next w:val="7"/>
    <w:link w:val="54"/>
    <w:autoRedefine/>
    <w:qFormat/>
    <w:uiPriority w:val="0"/>
    <w:rPr>
      <w:rFonts w:ascii="Times New Roman" w:hAnsi="Times New Roman"/>
      <w:b/>
      <w:bCs/>
      <w:kern w:val="2"/>
    </w:rPr>
  </w:style>
  <w:style w:type="paragraph" w:styleId="22">
    <w:name w:val="Body Text First Indent"/>
    <w:basedOn w:val="8"/>
    <w:next w:val="1"/>
    <w:link w:val="55"/>
    <w:autoRedefine/>
    <w:qFormat/>
    <w:uiPriority w:val="0"/>
    <w:pPr>
      <w:spacing w:after="120"/>
      <w:ind w:firstLine="420" w:firstLineChars="100"/>
    </w:pPr>
  </w:style>
  <w:style w:type="table" w:styleId="24">
    <w:name w:val="Table Grid"/>
    <w:basedOn w:val="23"/>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autoRedefine/>
    <w:qFormat/>
    <w:uiPriority w:val="0"/>
    <w:rPr>
      <w:rFonts w:ascii="Times New Roman" w:hAnsi="Times New Roman" w:eastAsia="宋体" w:cs="Times New Roman"/>
      <w:b/>
      <w:bCs/>
    </w:rPr>
  </w:style>
  <w:style w:type="character" w:styleId="27">
    <w:name w:val="page number"/>
    <w:basedOn w:val="25"/>
    <w:autoRedefine/>
    <w:qFormat/>
    <w:uiPriority w:val="0"/>
    <w:rPr>
      <w:rFonts w:ascii="Times New Roman" w:hAnsi="Times New Roman" w:eastAsia="宋体" w:cs="Times New Roman"/>
    </w:rPr>
  </w:style>
  <w:style w:type="character" w:styleId="28">
    <w:name w:val="FollowedHyperlink"/>
    <w:basedOn w:val="25"/>
    <w:autoRedefine/>
    <w:qFormat/>
    <w:uiPriority w:val="0"/>
    <w:rPr>
      <w:rFonts w:ascii="Times New Roman" w:hAnsi="Times New Roman" w:eastAsia="宋体" w:cs="Times New Roman"/>
      <w:color w:val="3C4144"/>
      <w:u w:val="none"/>
    </w:rPr>
  </w:style>
  <w:style w:type="character" w:styleId="29">
    <w:name w:val="Emphasis"/>
    <w:autoRedefine/>
    <w:qFormat/>
    <w:uiPriority w:val="0"/>
    <w:rPr>
      <w:rFonts w:ascii="Times New Roman" w:hAnsi="Times New Roman" w:eastAsia="宋体" w:cs="Times New Roman"/>
      <w:i/>
      <w:iCs/>
    </w:rPr>
  </w:style>
  <w:style w:type="character" w:styleId="30">
    <w:name w:val="HTML Definition"/>
    <w:basedOn w:val="25"/>
    <w:autoRedefine/>
    <w:qFormat/>
    <w:uiPriority w:val="0"/>
    <w:rPr>
      <w:rFonts w:ascii="Times New Roman" w:hAnsi="Times New Roman" w:eastAsia="宋体" w:cs="Times New Roman"/>
      <w:i/>
      <w:iCs/>
      <w:bdr w:val="single" w:color="999999" w:sz="6" w:space="0"/>
      <w:shd w:val="clear" w:color="auto" w:fill="FFFFFF"/>
    </w:rPr>
  </w:style>
  <w:style w:type="character" w:styleId="31">
    <w:name w:val="Hyperlink"/>
    <w:autoRedefine/>
    <w:qFormat/>
    <w:uiPriority w:val="99"/>
    <w:rPr>
      <w:rFonts w:ascii="Times New Roman" w:hAnsi="Times New Roman" w:eastAsia="宋体" w:cs="Times New Roman"/>
      <w:color w:val="0000FF"/>
      <w:u w:val="single"/>
    </w:rPr>
  </w:style>
  <w:style w:type="character" w:styleId="32">
    <w:name w:val="HTML Code"/>
    <w:basedOn w:val="25"/>
    <w:autoRedefine/>
    <w:qFormat/>
    <w:uiPriority w:val="0"/>
    <w:rPr>
      <w:rFonts w:hint="default" w:ascii="Consolas" w:hAnsi="Consolas" w:eastAsia="Consolas" w:cs="Consolas"/>
      <w:color w:val="C7254E"/>
      <w:sz w:val="21"/>
      <w:szCs w:val="21"/>
      <w:shd w:val="clear" w:color="auto" w:fill="F9F2F4"/>
    </w:rPr>
  </w:style>
  <w:style w:type="character" w:styleId="33">
    <w:name w:val="annotation reference"/>
    <w:autoRedefine/>
    <w:qFormat/>
    <w:uiPriority w:val="0"/>
    <w:rPr>
      <w:rFonts w:ascii="Times New Roman" w:hAnsi="Times New Roman" w:eastAsia="宋体" w:cs="Times New Roman"/>
      <w:sz w:val="21"/>
      <w:szCs w:val="21"/>
    </w:rPr>
  </w:style>
  <w:style w:type="character" w:styleId="34">
    <w:name w:val="HTML Cite"/>
    <w:basedOn w:val="25"/>
    <w:autoRedefine/>
    <w:qFormat/>
    <w:uiPriority w:val="0"/>
    <w:rPr>
      <w:rFonts w:ascii="Times New Roman" w:hAnsi="Times New Roman" w:eastAsia="宋体" w:cs="Times New Roman"/>
    </w:rPr>
  </w:style>
  <w:style w:type="character" w:styleId="35">
    <w:name w:val="HTML Keyboard"/>
    <w:basedOn w:val="25"/>
    <w:autoRedefine/>
    <w:qFormat/>
    <w:uiPriority w:val="0"/>
    <w:rPr>
      <w:rFonts w:hint="default" w:ascii="Consolas" w:hAnsi="Consolas" w:eastAsia="Consolas" w:cs="Consolas"/>
      <w:color w:val="FFFFFF"/>
      <w:sz w:val="21"/>
      <w:szCs w:val="21"/>
      <w:shd w:val="clear" w:color="auto" w:fill="333333"/>
    </w:rPr>
  </w:style>
  <w:style w:type="character" w:styleId="36">
    <w:name w:val="HTML Sample"/>
    <w:basedOn w:val="25"/>
    <w:qFormat/>
    <w:uiPriority w:val="0"/>
    <w:rPr>
      <w:rFonts w:ascii="Consolas" w:hAnsi="Consolas" w:eastAsia="Consolas" w:cs="Consolas"/>
      <w:sz w:val="21"/>
      <w:szCs w:val="21"/>
    </w:rPr>
  </w:style>
  <w:style w:type="paragraph" w:customStyle="1" w:styleId="37">
    <w:name w:val="BodyText1I"/>
    <w:basedOn w:val="38"/>
    <w:next w:val="39"/>
    <w:autoRedefine/>
    <w:qFormat/>
    <w:uiPriority w:val="0"/>
    <w:pPr>
      <w:ind w:firstLine="420" w:firstLineChars="100"/>
    </w:pPr>
  </w:style>
  <w:style w:type="paragraph" w:customStyle="1" w:styleId="38">
    <w:name w:val="BodyText"/>
    <w:basedOn w:val="1"/>
    <w:next w:val="37"/>
    <w:autoRedefine/>
    <w:qFormat/>
    <w:uiPriority w:val="0"/>
    <w:pPr>
      <w:spacing w:after="120"/>
    </w:pPr>
  </w:style>
  <w:style w:type="paragraph" w:customStyle="1" w:styleId="39">
    <w:name w:val="TOC6"/>
    <w:basedOn w:val="1"/>
    <w:next w:val="1"/>
    <w:qFormat/>
    <w:uiPriority w:val="0"/>
    <w:pPr>
      <w:ind w:left="1050"/>
      <w:jc w:val="left"/>
    </w:pPr>
    <w:rPr>
      <w:szCs w:val="21"/>
    </w:rPr>
  </w:style>
  <w:style w:type="paragraph" w:customStyle="1" w:styleId="40">
    <w:name w:val="正文1"/>
    <w:basedOn w:val="1"/>
    <w:next w:val="1"/>
    <w:autoRedefine/>
    <w:qFormat/>
    <w:uiPriority w:val="0"/>
    <w:pPr>
      <w:spacing w:before="156" w:line="360" w:lineRule="auto"/>
      <w:ind w:left="426"/>
    </w:pPr>
    <w:rPr>
      <w:sz w:val="24"/>
      <w:szCs w:val="20"/>
    </w:rPr>
  </w:style>
  <w:style w:type="character" w:customStyle="1" w:styleId="41">
    <w:name w:val="页眉 Char"/>
    <w:basedOn w:val="25"/>
    <w:link w:val="15"/>
    <w:autoRedefine/>
    <w:qFormat/>
    <w:uiPriority w:val="0"/>
    <w:rPr>
      <w:sz w:val="18"/>
      <w:szCs w:val="18"/>
    </w:rPr>
  </w:style>
  <w:style w:type="character" w:customStyle="1" w:styleId="42">
    <w:name w:val="页脚 Char"/>
    <w:basedOn w:val="25"/>
    <w:link w:val="14"/>
    <w:qFormat/>
    <w:uiPriority w:val="0"/>
    <w:rPr>
      <w:sz w:val="18"/>
      <w:szCs w:val="18"/>
    </w:rPr>
  </w:style>
  <w:style w:type="character" w:customStyle="1" w:styleId="43">
    <w:name w:val="标题 1 Char"/>
    <w:basedOn w:val="25"/>
    <w:link w:val="2"/>
    <w:autoRedefine/>
    <w:qFormat/>
    <w:uiPriority w:val="0"/>
    <w:rPr>
      <w:rFonts w:ascii="Calibri" w:hAnsi="Calibri" w:eastAsia="宋体" w:cs="Times New Roman"/>
      <w:b/>
      <w:kern w:val="44"/>
      <w:sz w:val="44"/>
      <w:szCs w:val="24"/>
    </w:rPr>
  </w:style>
  <w:style w:type="character" w:customStyle="1" w:styleId="44">
    <w:name w:val="标题 2 Char"/>
    <w:basedOn w:val="25"/>
    <w:link w:val="3"/>
    <w:autoRedefine/>
    <w:qFormat/>
    <w:uiPriority w:val="0"/>
    <w:rPr>
      <w:rFonts w:ascii="Cambria" w:hAnsi="Cambria" w:eastAsia="宋体" w:cs="Times New Roman"/>
      <w:b/>
      <w:kern w:val="0"/>
      <w:sz w:val="36"/>
      <w:szCs w:val="24"/>
    </w:rPr>
  </w:style>
  <w:style w:type="character" w:customStyle="1" w:styleId="45">
    <w:name w:val="标题 3 Char"/>
    <w:basedOn w:val="25"/>
    <w:link w:val="4"/>
    <w:qFormat/>
    <w:uiPriority w:val="0"/>
    <w:rPr>
      <w:rFonts w:ascii="Calibri" w:hAnsi="Times New Roman" w:eastAsia="宋体" w:cs="Times New Roman"/>
      <w:b/>
      <w:kern w:val="0"/>
      <w:sz w:val="32"/>
      <w:szCs w:val="20"/>
    </w:rPr>
  </w:style>
  <w:style w:type="character" w:customStyle="1" w:styleId="46">
    <w:name w:val="文档结构图 Char"/>
    <w:basedOn w:val="25"/>
    <w:link w:val="6"/>
    <w:autoRedefine/>
    <w:qFormat/>
    <w:uiPriority w:val="0"/>
    <w:rPr>
      <w:rFonts w:ascii="宋体" w:hAnsi="Calibri" w:eastAsia="宋体" w:cs="Times New Roman"/>
      <w:kern w:val="0"/>
      <w:sz w:val="18"/>
      <w:szCs w:val="18"/>
    </w:rPr>
  </w:style>
  <w:style w:type="character" w:customStyle="1" w:styleId="47">
    <w:name w:val="批注文字 Char"/>
    <w:basedOn w:val="25"/>
    <w:link w:val="7"/>
    <w:autoRedefine/>
    <w:qFormat/>
    <w:uiPriority w:val="0"/>
    <w:rPr>
      <w:rFonts w:ascii="Calibri" w:hAnsi="Calibri" w:eastAsia="宋体" w:cs="Times New Roman"/>
      <w:kern w:val="0"/>
      <w:szCs w:val="21"/>
    </w:rPr>
  </w:style>
  <w:style w:type="character" w:customStyle="1" w:styleId="48">
    <w:name w:val="正文文本 Char"/>
    <w:basedOn w:val="25"/>
    <w:link w:val="8"/>
    <w:qFormat/>
    <w:uiPriority w:val="0"/>
    <w:rPr>
      <w:rFonts w:ascii="Calibri" w:hAnsi="Calibri" w:eastAsia="宋体" w:cs="Times New Roman"/>
      <w:kern w:val="0"/>
      <w:szCs w:val="21"/>
    </w:rPr>
  </w:style>
  <w:style w:type="character" w:customStyle="1" w:styleId="49">
    <w:name w:val="正文文本缩进 Char"/>
    <w:basedOn w:val="25"/>
    <w:link w:val="10"/>
    <w:autoRedefine/>
    <w:qFormat/>
    <w:uiPriority w:val="0"/>
    <w:rPr>
      <w:rFonts w:ascii="Calibri" w:hAnsi="Calibri" w:eastAsia="宋体" w:cs="Times New Roman"/>
      <w:kern w:val="0"/>
      <w:szCs w:val="21"/>
    </w:rPr>
  </w:style>
  <w:style w:type="character" w:customStyle="1" w:styleId="50">
    <w:name w:val="纯文本 Char"/>
    <w:basedOn w:val="25"/>
    <w:link w:val="11"/>
    <w:autoRedefine/>
    <w:qFormat/>
    <w:uiPriority w:val="0"/>
    <w:rPr>
      <w:rFonts w:ascii="宋体" w:hAnsi="Courier New" w:eastAsia="宋体" w:cs="Times New Roman"/>
      <w:kern w:val="0"/>
      <w:szCs w:val="21"/>
    </w:rPr>
  </w:style>
  <w:style w:type="character" w:customStyle="1" w:styleId="51">
    <w:name w:val="日期 Char"/>
    <w:basedOn w:val="25"/>
    <w:link w:val="12"/>
    <w:autoRedefine/>
    <w:qFormat/>
    <w:uiPriority w:val="0"/>
    <w:rPr>
      <w:rFonts w:ascii="Calibri" w:hAnsi="Calibri" w:eastAsia="宋体" w:cs="Times New Roman"/>
      <w:kern w:val="0"/>
      <w:szCs w:val="21"/>
    </w:rPr>
  </w:style>
  <w:style w:type="character" w:customStyle="1" w:styleId="52">
    <w:name w:val="批注框文本 Char"/>
    <w:basedOn w:val="25"/>
    <w:link w:val="13"/>
    <w:autoRedefine/>
    <w:qFormat/>
    <w:uiPriority w:val="0"/>
    <w:rPr>
      <w:rFonts w:ascii="Calibri" w:hAnsi="Calibri" w:eastAsia="宋体" w:cs="Times New Roman"/>
      <w:kern w:val="0"/>
      <w:sz w:val="18"/>
      <w:szCs w:val="18"/>
    </w:rPr>
  </w:style>
  <w:style w:type="character" w:customStyle="1" w:styleId="53">
    <w:name w:val="正文文本缩进 3 Char"/>
    <w:basedOn w:val="25"/>
    <w:link w:val="18"/>
    <w:autoRedefine/>
    <w:qFormat/>
    <w:uiPriority w:val="0"/>
    <w:rPr>
      <w:rFonts w:ascii="Calibri" w:hAnsi="Calibri" w:eastAsia="宋体" w:cs="Times New Roman"/>
      <w:kern w:val="0"/>
      <w:sz w:val="16"/>
      <w:szCs w:val="16"/>
    </w:rPr>
  </w:style>
  <w:style w:type="character" w:customStyle="1" w:styleId="54">
    <w:name w:val="批注主题 Char"/>
    <w:basedOn w:val="47"/>
    <w:link w:val="21"/>
    <w:autoRedefine/>
    <w:qFormat/>
    <w:uiPriority w:val="0"/>
    <w:rPr>
      <w:rFonts w:ascii="Times New Roman" w:hAnsi="Times New Roman"/>
      <w:b/>
      <w:bCs/>
    </w:rPr>
  </w:style>
  <w:style w:type="character" w:customStyle="1" w:styleId="55">
    <w:name w:val="正文首行缩进 Char"/>
    <w:basedOn w:val="48"/>
    <w:link w:val="22"/>
    <w:autoRedefine/>
    <w:qFormat/>
    <w:uiPriority w:val="0"/>
  </w:style>
  <w:style w:type="paragraph" w:customStyle="1" w:styleId="56">
    <w:name w:val="TOC 标题1"/>
    <w:basedOn w:val="2"/>
    <w:next w:val="1"/>
    <w:autoRedefine/>
    <w:qFormat/>
    <w:uiPriority w:val="0"/>
    <w:pPr>
      <w:keepLines/>
      <w:numPr>
        <w:numId w:val="0"/>
      </w:numPr>
      <w:spacing w:before="480" w:after="0" w:line="276" w:lineRule="auto"/>
    </w:pPr>
    <w:rPr>
      <w:rFonts w:ascii="Cambria" w:hAnsi="Cambria"/>
      <w:color w:val="365F91"/>
      <w:sz w:val="28"/>
    </w:rPr>
  </w:style>
  <w:style w:type="paragraph" w:customStyle="1" w:styleId="57">
    <w:name w:val="p0"/>
    <w:basedOn w:val="1"/>
    <w:autoRedefine/>
    <w:qFormat/>
    <w:uiPriority w:val="0"/>
    <w:pPr>
      <w:widowControl/>
    </w:pPr>
    <w:rPr>
      <w:rFonts w:ascii="Times New Roman" w:hAnsi="Times New Roman" w:cs="Times New Roman"/>
      <w:kern w:val="0"/>
      <w:szCs w:val="21"/>
    </w:rPr>
  </w:style>
  <w:style w:type="paragraph" w:customStyle="1" w:styleId="58">
    <w:name w:val="Heading 6"/>
    <w:basedOn w:val="1"/>
    <w:autoRedefine/>
    <w:qFormat/>
    <w:uiPriority w:val="0"/>
    <w:pPr>
      <w:ind w:left="584"/>
      <w:jc w:val="left"/>
      <w:outlineLvl w:val="6"/>
    </w:pPr>
    <w:rPr>
      <w:rFonts w:ascii="宋体" w:hAnsi="宋体" w:cs="Times New Roman"/>
      <w:b/>
      <w:bCs/>
      <w:kern w:val="0"/>
      <w:sz w:val="24"/>
      <w:szCs w:val="24"/>
      <w:lang w:eastAsia="en-US"/>
    </w:rPr>
  </w:style>
  <w:style w:type="paragraph" w:customStyle="1" w:styleId="59">
    <w:name w:val="标题 31"/>
    <w:basedOn w:val="1"/>
    <w:autoRedefine/>
    <w:qFormat/>
    <w:uiPriority w:val="0"/>
    <w:pPr>
      <w:ind w:left="102"/>
      <w:jc w:val="left"/>
      <w:outlineLvl w:val="3"/>
    </w:pPr>
    <w:rPr>
      <w:rFonts w:ascii="宋体" w:hAnsi="宋体" w:cs="Times New Roman"/>
      <w:b/>
      <w:bCs/>
      <w:kern w:val="0"/>
      <w:sz w:val="32"/>
      <w:szCs w:val="32"/>
      <w:lang w:eastAsia="en-US"/>
    </w:rPr>
  </w:style>
  <w:style w:type="paragraph" w:customStyle="1" w:styleId="60">
    <w:name w:val="标题 51"/>
    <w:basedOn w:val="1"/>
    <w:autoRedefine/>
    <w:qFormat/>
    <w:uiPriority w:val="0"/>
    <w:pPr>
      <w:ind w:left="102"/>
      <w:jc w:val="left"/>
      <w:outlineLvl w:val="5"/>
    </w:pPr>
    <w:rPr>
      <w:rFonts w:ascii="宋体" w:hAnsi="宋体" w:cs="Times New Roman"/>
      <w:b/>
      <w:bCs/>
      <w:kern w:val="0"/>
      <w:sz w:val="28"/>
      <w:szCs w:val="28"/>
      <w:lang w:eastAsia="en-US"/>
    </w:rPr>
  </w:style>
  <w:style w:type="character" w:customStyle="1" w:styleId="61">
    <w:name w:val="正文文本缩进 3 Char1"/>
    <w:autoRedefine/>
    <w:qFormat/>
    <w:uiPriority w:val="0"/>
    <w:rPr>
      <w:rFonts w:ascii="Calibri" w:hAnsi="Times New Roman" w:eastAsia="宋体" w:cs="Times New Roman"/>
      <w:sz w:val="16"/>
    </w:rPr>
  </w:style>
  <w:style w:type="character" w:customStyle="1" w:styleId="62">
    <w:name w:val="页脚 Char1"/>
    <w:autoRedefine/>
    <w:qFormat/>
    <w:uiPriority w:val="0"/>
    <w:rPr>
      <w:rFonts w:ascii="Calibri" w:hAnsi="Calibri" w:eastAsia="宋体" w:cs="宋体"/>
      <w:sz w:val="18"/>
      <w:szCs w:val="18"/>
    </w:rPr>
  </w:style>
  <w:style w:type="character" w:customStyle="1" w:styleId="63">
    <w:name w:val="页眉 Char1"/>
    <w:autoRedefine/>
    <w:qFormat/>
    <w:uiPriority w:val="0"/>
    <w:rPr>
      <w:rFonts w:ascii="Calibri" w:hAnsi="Calibri" w:eastAsia="宋体" w:cs="宋体"/>
      <w:sz w:val="18"/>
      <w:szCs w:val="18"/>
    </w:rPr>
  </w:style>
  <w:style w:type="character" w:customStyle="1" w:styleId="64">
    <w:name w:val="批注框文本 Char1"/>
    <w:autoRedefine/>
    <w:qFormat/>
    <w:uiPriority w:val="0"/>
    <w:rPr>
      <w:rFonts w:ascii="Calibri" w:hAnsi="Times New Roman" w:eastAsia="宋体" w:cs="Times New Roman"/>
      <w:sz w:val="18"/>
    </w:rPr>
  </w:style>
  <w:style w:type="character" w:customStyle="1" w:styleId="65">
    <w:name w:val="正文文本缩进 Char1"/>
    <w:autoRedefine/>
    <w:qFormat/>
    <w:uiPriority w:val="0"/>
    <w:rPr>
      <w:rFonts w:ascii="Calibri" w:hAnsi="Times New Roman" w:eastAsia="宋体" w:cs="Times New Roman"/>
      <w:sz w:val="21"/>
    </w:rPr>
  </w:style>
  <w:style w:type="character" w:customStyle="1" w:styleId="66">
    <w:name w:val="页脚 Char2"/>
    <w:autoRedefine/>
    <w:qFormat/>
    <w:uiPriority w:val="0"/>
    <w:rPr>
      <w:rFonts w:ascii="Calibri" w:hAnsi="Times New Roman" w:eastAsia="宋体" w:cs="Times New Roman"/>
      <w:sz w:val="18"/>
    </w:rPr>
  </w:style>
  <w:style w:type="character" w:customStyle="1" w:styleId="67">
    <w:name w:val="页眉 Char2"/>
    <w:autoRedefine/>
    <w:qFormat/>
    <w:uiPriority w:val="0"/>
    <w:rPr>
      <w:rFonts w:ascii="Calibri" w:hAnsi="Times New Roman" w:eastAsia="宋体" w:cs="Times New Roman"/>
      <w:sz w:val="18"/>
    </w:rPr>
  </w:style>
  <w:style w:type="paragraph" w:customStyle="1" w:styleId="68">
    <w:name w:val="默认段落字体 Para Char Char Char Char Char Char Char Char Char1 Char Char Char Char"/>
    <w:basedOn w:val="1"/>
    <w:autoRedefine/>
    <w:qFormat/>
    <w:uiPriority w:val="0"/>
    <w:rPr>
      <w:rFonts w:ascii="Times New Roman" w:hAnsi="Times New Roman" w:cs="Times New Roman"/>
      <w:szCs w:val="24"/>
    </w:rPr>
  </w:style>
  <w:style w:type="paragraph" w:customStyle="1" w:styleId="69">
    <w:name w:val="标题 81"/>
    <w:basedOn w:val="1"/>
    <w:autoRedefine/>
    <w:qFormat/>
    <w:uiPriority w:val="0"/>
    <w:pPr>
      <w:spacing w:before="32"/>
      <w:ind w:left="102"/>
      <w:jc w:val="left"/>
      <w:outlineLvl w:val="8"/>
    </w:pPr>
    <w:rPr>
      <w:rFonts w:ascii="宋体" w:hAnsi="宋体" w:cs="Times New Roman"/>
      <w:kern w:val="0"/>
      <w:sz w:val="22"/>
      <w:lang w:eastAsia="en-US"/>
    </w:rPr>
  </w:style>
  <w:style w:type="character" w:customStyle="1" w:styleId="70">
    <w:name w:val="nc-lang-cnt"/>
    <w:basedOn w:val="25"/>
    <w:autoRedefine/>
    <w:qFormat/>
    <w:uiPriority w:val="0"/>
    <w:rPr>
      <w:rFonts w:hint="cs" w:ascii="Times New Roman" w:hAnsi="Times New Roman" w:eastAsia="宋体" w:cs="Times New Roman"/>
      <w:rtl/>
      <w:cs/>
    </w:rPr>
  </w:style>
  <w:style w:type="character" w:customStyle="1" w:styleId="71">
    <w:name w:val="nc-lang-cnt1"/>
    <w:basedOn w:val="25"/>
    <w:autoRedefine/>
    <w:qFormat/>
    <w:uiPriority w:val="0"/>
    <w:rPr>
      <w:rFonts w:hint="cs" w:ascii="Times New Roman" w:hAnsi="Times New Roman" w:eastAsia="宋体" w:cs="Times New Roman"/>
      <w:rtl/>
      <w:cs/>
    </w:rPr>
  </w:style>
  <w:style w:type="character" w:customStyle="1" w:styleId="72">
    <w:name w:val="nc-lang-cnt2"/>
    <w:basedOn w:val="25"/>
    <w:autoRedefine/>
    <w:qFormat/>
    <w:uiPriority w:val="0"/>
    <w:rPr>
      <w:rFonts w:ascii="Times New Roman" w:hAnsi="Times New Roman" w:eastAsia="宋体" w:cs="Times New Roman"/>
    </w:rPr>
  </w:style>
  <w:style w:type="character" w:customStyle="1" w:styleId="73">
    <w:name w:val="nc-lang-cnt3"/>
    <w:basedOn w:val="25"/>
    <w:autoRedefine/>
    <w:qFormat/>
    <w:uiPriority w:val="0"/>
    <w:rPr>
      <w:rFonts w:ascii="Times New Roman" w:hAnsi="Times New Roman" w:eastAsia="宋体" w:cs="Times New Roman"/>
    </w:rPr>
  </w:style>
  <w:style w:type="character" w:customStyle="1" w:styleId="74">
    <w:name w:val="nc-lang-cnt4"/>
    <w:basedOn w:val="25"/>
    <w:autoRedefine/>
    <w:qFormat/>
    <w:uiPriority w:val="0"/>
    <w:rPr>
      <w:rFonts w:hint="cs" w:ascii="Times New Roman" w:hAnsi="Times New Roman" w:eastAsia="宋体" w:cs="Times New Roman"/>
      <w:rtl/>
      <w:cs/>
    </w:rPr>
  </w:style>
  <w:style w:type="character" w:customStyle="1" w:styleId="75">
    <w:name w:val="nc-lang-cnt5"/>
    <w:basedOn w:val="25"/>
    <w:autoRedefine/>
    <w:qFormat/>
    <w:uiPriority w:val="0"/>
    <w:rPr>
      <w:rFonts w:hint="cs" w:ascii="Times New Roman" w:hAnsi="Times New Roman" w:eastAsia="宋体" w:cs="Times New Roman"/>
      <w:rtl/>
      <w:cs/>
    </w:rPr>
  </w:style>
  <w:style w:type="character" w:customStyle="1" w:styleId="76">
    <w:name w:val="nc-lang-cnt6"/>
    <w:basedOn w:val="25"/>
    <w:autoRedefine/>
    <w:qFormat/>
    <w:uiPriority w:val="0"/>
    <w:rPr>
      <w:rFonts w:ascii="Times New Roman" w:hAnsi="Times New Roman" w:eastAsia="宋体" w:cs="Times New Roman"/>
    </w:rPr>
  </w:style>
  <w:style w:type="character" w:customStyle="1" w:styleId="77">
    <w:name w:val="des12"/>
    <w:basedOn w:val="25"/>
    <w:autoRedefine/>
    <w:qFormat/>
    <w:uiPriority w:val="0"/>
    <w:rPr>
      <w:rFonts w:ascii="Times New Roman" w:hAnsi="Times New Roman" w:eastAsia="宋体" w:cs="Times New Roman"/>
      <w:color w:val="333333"/>
    </w:rPr>
  </w:style>
  <w:style w:type="character" w:customStyle="1" w:styleId="78">
    <w:name w:val="badge21"/>
    <w:basedOn w:val="25"/>
    <w:autoRedefine/>
    <w:qFormat/>
    <w:uiPriority w:val="0"/>
    <w:rPr>
      <w:rFonts w:ascii="Times New Roman" w:hAnsi="Times New Roman" w:eastAsia="宋体" w:cs="Times New Roman"/>
      <w:shd w:val="clear" w:color="auto" w:fill="FFFFFF"/>
    </w:rPr>
  </w:style>
  <w:style w:type="character" w:customStyle="1" w:styleId="79">
    <w:name w:val="badge22"/>
    <w:basedOn w:val="25"/>
    <w:autoRedefine/>
    <w:qFormat/>
    <w:uiPriority w:val="0"/>
    <w:rPr>
      <w:rFonts w:ascii="Times New Roman" w:hAnsi="Times New Roman" w:eastAsia="宋体" w:cs="Times New Roman"/>
      <w:color w:val="909090"/>
      <w:sz w:val="18"/>
      <w:szCs w:val="18"/>
    </w:rPr>
  </w:style>
  <w:style w:type="character" w:customStyle="1" w:styleId="80">
    <w:name w:val="badge23"/>
    <w:basedOn w:val="25"/>
    <w:autoRedefine/>
    <w:qFormat/>
    <w:uiPriority w:val="0"/>
    <w:rPr>
      <w:rFonts w:ascii="Times New Roman" w:hAnsi="Times New Roman" w:eastAsia="宋体" w:cs="Times New Roman"/>
      <w:color w:val="128BED"/>
    </w:rPr>
  </w:style>
  <w:style w:type="character" w:customStyle="1" w:styleId="81">
    <w:name w:val="badge24"/>
    <w:basedOn w:val="25"/>
    <w:autoRedefine/>
    <w:qFormat/>
    <w:uiPriority w:val="0"/>
    <w:rPr>
      <w:rFonts w:ascii="Times New Roman" w:hAnsi="Times New Roman" w:eastAsia="宋体" w:cs="Times New Roman"/>
      <w:color w:val="128BED"/>
    </w:rPr>
  </w:style>
  <w:style w:type="character" w:customStyle="1" w:styleId="82">
    <w:name w:val="badge25"/>
    <w:basedOn w:val="25"/>
    <w:qFormat/>
    <w:uiPriority w:val="0"/>
    <w:rPr>
      <w:rFonts w:ascii="Times New Roman" w:hAnsi="Times New Roman" w:eastAsia="宋体" w:cs="Times New Roman"/>
      <w:shd w:val="clear" w:color="auto" w:fill="FFFFFF"/>
    </w:rPr>
  </w:style>
  <w:style w:type="character" w:customStyle="1" w:styleId="83">
    <w:name w:val="badge26"/>
    <w:basedOn w:val="25"/>
    <w:autoRedefine/>
    <w:qFormat/>
    <w:uiPriority w:val="0"/>
    <w:rPr>
      <w:rFonts w:ascii="Times New Roman" w:hAnsi="Times New Roman" w:eastAsia="宋体" w:cs="Times New Roman"/>
      <w:color w:val="909090"/>
      <w:sz w:val="18"/>
      <w:szCs w:val="18"/>
    </w:rPr>
  </w:style>
  <w:style w:type="character" w:customStyle="1" w:styleId="84">
    <w:name w:val="badge27"/>
    <w:basedOn w:val="25"/>
    <w:autoRedefine/>
    <w:qFormat/>
    <w:uiPriority w:val="0"/>
    <w:rPr>
      <w:rFonts w:ascii="Times New Roman" w:hAnsi="Times New Roman" w:eastAsia="宋体" w:cs="Times New Roman"/>
      <w:color w:val="128BED"/>
    </w:rPr>
  </w:style>
  <w:style w:type="character" w:customStyle="1" w:styleId="85">
    <w:name w:val="after"/>
    <w:basedOn w:val="25"/>
    <w:qFormat/>
    <w:uiPriority w:val="0"/>
    <w:rPr>
      <w:rFonts w:ascii="Times New Roman" w:hAnsi="Times New Roman" w:eastAsia="宋体" w:cs="Times New Roman"/>
      <w:shd w:val="clear" w:color="auto" w:fill="FFFFFF"/>
    </w:rPr>
  </w:style>
  <w:style w:type="character" w:customStyle="1" w:styleId="86">
    <w:name w:val="delete2"/>
    <w:basedOn w:val="25"/>
    <w:autoRedefine/>
    <w:qFormat/>
    <w:uiPriority w:val="0"/>
    <w:rPr>
      <w:rFonts w:ascii="Times New Roman" w:hAnsi="Times New Roman" w:eastAsia="宋体" w:cs="Times New Roman"/>
    </w:rPr>
  </w:style>
  <w:style w:type="character" w:customStyle="1" w:styleId="87">
    <w:name w:val="edit4"/>
    <w:basedOn w:val="25"/>
    <w:autoRedefine/>
    <w:qFormat/>
    <w:uiPriority w:val="0"/>
    <w:rPr>
      <w:rFonts w:ascii="Times New Roman" w:hAnsi="Times New Roman" w:eastAsia="宋体" w:cs="Times New Roman"/>
    </w:rPr>
  </w:style>
  <w:style w:type="character" w:customStyle="1" w:styleId="88">
    <w:name w:val="nth-child(2)"/>
    <w:basedOn w:val="25"/>
    <w:qFormat/>
    <w:uiPriority w:val="0"/>
    <w:rPr>
      <w:rFonts w:ascii="Times New Roman" w:hAnsi="Times New Roman" w:eastAsia="宋体" w:cs="Times New Roman"/>
    </w:rPr>
  </w:style>
  <w:style w:type="character" w:customStyle="1" w:styleId="89">
    <w:name w:val="badge28"/>
    <w:basedOn w:val="25"/>
    <w:autoRedefine/>
    <w:qFormat/>
    <w:uiPriority w:val="0"/>
    <w:rPr>
      <w:rFonts w:ascii="Times New Roman" w:hAnsi="Times New Roman" w:eastAsia="宋体" w:cs="Times New Roman"/>
      <w:color w:val="128BED"/>
    </w:rPr>
  </w:style>
  <w:style w:type="character" w:customStyle="1" w:styleId="90">
    <w:name w:val="nc-lang-cnt7"/>
    <w:basedOn w:val="25"/>
    <w:autoRedefine/>
    <w:qFormat/>
    <w:uiPriority w:val="0"/>
    <w:rPr>
      <w:rFonts w:hint="cs" w:ascii="Times New Roman" w:hAnsi="Times New Roman" w:eastAsia="宋体" w:cs="Times New Roman"/>
      <w:rtl/>
      <w:cs/>
    </w:rPr>
  </w:style>
  <w:style w:type="character" w:customStyle="1" w:styleId="91">
    <w:name w:val="nc-lang-cnt8"/>
    <w:basedOn w:val="25"/>
    <w:qFormat/>
    <w:uiPriority w:val="0"/>
    <w:rPr>
      <w:rFonts w:ascii="Times New Roman" w:hAnsi="Times New Roman" w:eastAsia="宋体" w:cs="Times New Roman"/>
    </w:rPr>
  </w:style>
  <w:style w:type="character" w:customStyle="1" w:styleId="92">
    <w:name w:val="des14"/>
    <w:basedOn w:val="25"/>
    <w:autoRedefine/>
    <w:qFormat/>
    <w:uiPriority w:val="0"/>
    <w:rPr>
      <w:rFonts w:ascii="Times New Roman" w:hAnsi="Times New Roman" w:eastAsia="宋体" w:cs="Times New Roman"/>
      <w:color w:val="333333"/>
    </w:rPr>
  </w:style>
  <w:style w:type="paragraph" w:customStyle="1" w:styleId="93">
    <w:name w:val="纯文本1"/>
    <w:basedOn w:val="1"/>
    <w:autoRedefine/>
    <w:qFormat/>
    <w:uiPriority w:val="0"/>
    <w:rPr>
      <w:rFonts w:ascii="宋体" w:hAnsi="Courier New" w:cs="Times New Roman"/>
      <w:szCs w:val="21"/>
    </w:rPr>
  </w:style>
  <w:style w:type="paragraph" w:customStyle="1" w:styleId="94">
    <w:name w:val="WPSOffice手动目录 1"/>
    <w:autoRedefine/>
    <w:qFormat/>
    <w:uiPriority w:val="0"/>
    <w:rPr>
      <w:rFonts w:ascii="Calibri" w:hAnsi="Calibri" w:eastAsia="宋体" w:cs="宋体"/>
      <w:lang w:val="en-US" w:eastAsia="zh-CN" w:bidi="ar-SA"/>
    </w:rPr>
  </w:style>
  <w:style w:type="paragraph" w:customStyle="1" w:styleId="95">
    <w:name w:val="WPSOffice手动目录 2"/>
    <w:autoRedefine/>
    <w:qFormat/>
    <w:uiPriority w:val="0"/>
    <w:pPr>
      <w:ind w:left="200" w:leftChars="200"/>
    </w:pPr>
    <w:rPr>
      <w:rFonts w:ascii="Calibri" w:hAnsi="Calibri" w:eastAsia="宋体" w:cs="宋体"/>
      <w:lang w:val="en-US" w:eastAsia="zh-CN" w:bidi="ar-SA"/>
    </w:rPr>
  </w:style>
  <w:style w:type="paragraph" w:styleId="96">
    <w:name w:val="List Paragraph"/>
    <w:basedOn w:val="1"/>
    <w:autoRedefine/>
    <w:qFormat/>
    <w:uiPriority w:val="99"/>
    <w:pPr>
      <w:ind w:firstLine="420" w:firstLineChars="200"/>
    </w:pPr>
  </w:style>
  <w:style w:type="paragraph" w:customStyle="1" w:styleId="97">
    <w:name w:val="Table Paragraph"/>
    <w:basedOn w:val="1"/>
    <w:qFormat/>
    <w:uiPriority w:val="1"/>
    <w:rPr>
      <w:rFonts w:cs="宋体"/>
      <w:szCs w:val="24"/>
      <w:lang w:val="zh-CN" w:bidi="zh-CN"/>
    </w:rPr>
  </w:style>
  <w:style w:type="character" w:customStyle="1" w:styleId="98">
    <w:name w:val="15"/>
    <w:basedOn w:val="25"/>
    <w:qFormat/>
    <w:uiPriority w:val="0"/>
    <w:rPr>
      <w:rFonts w:hint="default" w:ascii="Times New Roman" w:hAnsi="Times New Roman" w:cs="Times New Roman"/>
      <w:sz w:val="24"/>
      <w:szCs w:val="24"/>
    </w:rPr>
  </w:style>
  <w:style w:type="paragraph" w:customStyle="1" w:styleId="99">
    <w:name w:val="Heading1"/>
    <w:basedOn w:val="1"/>
    <w:next w:val="1"/>
    <w:autoRedefine/>
    <w:qFormat/>
    <w:uiPriority w:val="0"/>
    <w:pPr>
      <w:keepNext/>
      <w:keepLines/>
      <w:spacing w:before="340" w:after="330" w:line="576" w:lineRule="auto"/>
      <w:textAlignment w:val="baseline"/>
    </w:pPr>
    <w:rPr>
      <w:b/>
      <w:bCs/>
      <w:kern w:val="44"/>
      <w:sz w:val="44"/>
      <w:szCs w:val="44"/>
    </w:rPr>
  </w:style>
  <w:style w:type="paragraph" w:customStyle="1" w:styleId="100">
    <w:name w:val="_Style 1"/>
    <w:basedOn w:val="1"/>
    <w:next w:val="1"/>
    <w:autoRedefine/>
    <w:qFormat/>
    <w:uiPriority w:val="0"/>
    <w:pPr>
      <w:pBdr>
        <w:bottom w:val="single" w:color="auto" w:sz="6" w:space="1"/>
      </w:pBdr>
      <w:jc w:val="center"/>
    </w:pPr>
    <w:rPr>
      <w:rFonts w:ascii="Arial"/>
      <w:vanish/>
      <w:sz w:val="16"/>
    </w:rPr>
  </w:style>
  <w:style w:type="character" w:customStyle="1" w:styleId="101">
    <w:name w:val="font21"/>
    <w:basedOn w:val="25"/>
    <w:qFormat/>
    <w:uiPriority w:val="0"/>
    <w:rPr>
      <w:rFonts w:ascii="Arial" w:hAnsi="Arial" w:cs="Arial"/>
      <w:color w:val="000000"/>
      <w:sz w:val="20"/>
      <w:szCs w:val="20"/>
      <w:u w:val="none"/>
    </w:rPr>
  </w:style>
  <w:style w:type="character" w:customStyle="1" w:styleId="102">
    <w:name w:val="font31"/>
    <w:basedOn w:val="25"/>
    <w:qFormat/>
    <w:uiPriority w:val="0"/>
    <w:rPr>
      <w:rFonts w:ascii="仿宋" w:hAnsi="仿宋" w:eastAsia="仿宋" w:cs="仿宋"/>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Micorosoft</Company>
  <Pages>41</Pages>
  <Words>4365</Words>
  <Characters>4738</Characters>
  <Lines>1</Lines>
  <Paragraphs>1</Paragraphs>
  <TotalTime>6</TotalTime>
  <ScaleCrop>false</ScaleCrop>
  <LinksUpToDate>false</LinksUpToDate>
  <CharactersWithSpaces>4826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2021-04-01T07:32:00Z</dcterms:created>
  <dc:creator>Administrator</dc:creator>
  <cp:lastModifiedBy>G</cp:lastModifiedBy>
  <cp:lastPrinted>2023-12-20T01:49:00Z</cp:lastPrinted>
  <dcterms:modified xsi:type="dcterms:W3CDTF">2026-08-24T23:38:29Z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E32565602C694643AD9C435E229EFC10_13</vt:lpwstr>
  </property>
  <property fmtid="{D5CDD505-2E9C-101B-9397-08002B2CF9AE}" pid="4" name="KSOTemplateDocerSaveRecord">
    <vt:lpwstr>eyJoZGlkIjoiZGYyZjllY2I2YjQ2NTNiODg2ODllYmNlN2MxODRhYjIiLCJ1c2VySWQiOiIyMTgzOTgxNTkifQ==</vt:lpwstr>
  </property>
</Properties>
</file>