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F7A58F">
      <w:pPr>
        <w:spacing w:line="440" w:lineRule="exact"/>
        <w:jc w:val="left"/>
        <w:rPr>
          <w:rFonts w:hint="eastAsia" w:ascii="仿宋_GB2312" w:hAnsi="仿宋_GB2312" w:eastAsia="仿宋_GB2312" w:cs="仿宋_GB2312"/>
          <w:b/>
          <w:color w:val="auto"/>
          <w:sz w:val="24"/>
          <w:highlight w:val="none"/>
        </w:rPr>
      </w:pPr>
      <w:bookmarkStart w:id="0" w:name="_GoBack"/>
      <w:bookmarkEnd w:id="0"/>
      <w:r>
        <w:rPr>
          <w:rFonts w:hint="eastAsia" w:ascii="仿宋_GB2312" w:hAnsi="仿宋_GB2312" w:eastAsia="仿宋_GB2312" w:cs="仿宋_GB2312"/>
          <w:b/>
          <w:color w:val="auto"/>
          <w:sz w:val="24"/>
          <w:highlight w:val="none"/>
          <w:lang w:val="en-US" w:eastAsia="zh-CN"/>
        </w:rPr>
        <w:t>附件3：</w:t>
      </w:r>
      <w:r>
        <w:rPr>
          <w:rFonts w:hint="eastAsia" w:ascii="仿宋_GB2312" w:hAnsi="仿宋_GB2312" w:eastAsia="仿宋_GB2312" w:cs="仿宋_GB2312"/>
          <w:b/>
          <w:color w:val="auto"/>
          <w:sz w:val="24"/>
          <w:highlight w:val="none"/>
        </w:rPr>
        <w:t>评分</w:t>
      </w:r>
      <w:r>
        <w:rPr>
          <w:rFonts w:hint="eastAsia" w:ascii="仿宋_GB2312" w:hAnsi="仿宋_GB2312" w:eastAsia="仿宋_GB2312" w:cs="仿宋_GB2312"/>
          <w:b/>
          <w:color w:val="auto"/>
          <w:sz w:val="24"/>
          <w:highlight w:val="none"/>
          <w:lang w:val="en-US" w:eastAsia="zh-CN"/>
        </w:rPr>
        <w:t>办法及</w:t>
      </w:r>
      <w:r>
        <w:rPr>
          <w:rFonts w:hint="eastAsia" w:ascii="仿宋_GB2312" w:hAnsi="仿宋_GB2312" w:eastAsia="仿宋_GB2312" w:cs="仿宋_GB2312"/>
          <w:b/>
          <w:color w:val="auto"/>
          <w:sz w:val="24"/>
          <w:highlight w:val="none"/>
        </w:rPr>
        <w:t>标准</w:t>
      </w:r>
    </w:p>
    <w:p w14:paraId="49A6C171">
      <w:pPr>
        <w:keepNext w:val="0"/>
        <w:keepLines w:val="0"/>
        <w:pageBreakBefore w:val="0"/>
        <w:widowControl w:val="0"/>
        <w:kinsoku/>
        <w:wordWrap/>
        <w:overflowPunct/>
        <w:topLinePunct w:val="0"/>
        <w:autoSpaceDE/>
        <w:autoSpaceDN/>
        <w:bidi w:val="0"/>
        <w:adjustRightInd/>
        <w:snapToGrid/>
        <w:spacing w:line="400" w:lineRule="exact"/>
        <w:ind w:firstLine="482" w:firstLineChars="200"/>
        <w:jc w:val="left"/>
        <w:textAlignment w:val="auto"/>
        <w:rPr>
          <w:rFonts w:hint="eastAsia" w:ascii="仿宋_GB2312" w:hAnsi="仿宋_GB2312" w:eastAsia="仿宋_GB2312" w:cs="仿宋_GB2312"/>
          <w:b/>
          <w:sz w:val="24"/>
          <w:szCs w:val="24"/>
        </w:rPr>
      </w:pPr>
    </w:p>
    <w:p w14:paraId="7F4C2128">
      <w:pPr>
        <w:keepNext w:val="0"/>
        <w:keepLines w:val="0"/>
        <w:pageBreakBefore w:val="0"/>
        <w:widowControl w:val="0"/>
        <w:kinsoku/>
        <w:wordWrap/>
        <w:overflowPunct/>
        <w:topLinePunct w:val="0"/>
        <w:autoSpaceDE/>
        <w:autoSpaceDN/>
        <w:bidi w:val="0"/>
        <w:adjustRightInd/>
        <w:snapToGrid/>
        <w:spacing w:line="460" w:lineRule="exact"/>
        <w:ind w:firstLine="482" w:firstLineChars="200"/>
        <w:jc w:val="both"/>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1</w:t>
      </w:r>
      <w:r>
        <w:rPr>
          <w:rFonts w:hint="eastAsia" w:ascii="仿宋_GB2312" w:hAnsi="仿宋_GB2312" w:eastAsia="仿宋_GB2312" w:cs="仿宋_GB2312"/>
          <w:b/>
          <w:sz w:val="24"/>
          <w:szCs w:val="24"/>
          <w:lang w:eastAsia="zh-CN"/>
        </w:rPr>
        <w:t>.</w:t>
      </w:r>
      <w:r>
        <w:rPr>
          <w:rFonts w:hint="eastAsia" w:ascii="仿宋_GB2312" w:hAnsi="仿宋_GB2312" w:eastAsia="仿宋_GB2312" w:cs="仿宋_GB2312"/>
          <w:b/>
          <w:sz w:val="24"/>
          <w:szCs w:val="24"/>
        </w:rPr>
        <w:t>评标方法：</w:t>
      </w:r>
    </w:p>
    <w:p w14:paraId="4066680E">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的中标候选人。中标候选人并列的，采用随机抽取的方式确定。</w:t>
      </w:r>
    </w:p>
    <w:p w14:paraId="7177A072">
      <w:pPr>
        <w:keepNext w:val="0"/>
        <w:keepLines w:val="0"/>
        <w:pageBreakBefore w:val="0"/>
        <w:widowControl w:val="0"/>
        <w:kinsoku/>
        <w:wordWrap/>
        <w:overflowPunct/>
        <w:topLinePunct w:val="0"/>
        <w:autoSpaceDE/>
        <w:autoSpaceDN/>
        <w:bidi w:val="0"/>
        <w:adjustRightInd/>
        <w:snapToGrid/>
        <w:spacing w:line="460" w:lineRule="exact"/>
        <w:ind w:firstLine="472" w:firstLineChars="196"/>
        <w:jc w:val="both"/>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1D973977">
      <w:pPr>
        <w:keepNext w:val="0"/>
        <w:keepLines w:val="0"/>
        <w:pageBreakBefore w:val="0"/>
        <w:widowControl w:val="0"/>
        <w:kinsoku/>
        <w:wordWrap/>
        <w:overflowPunct/>
        <w:topLinePunct w:val="0"/>
        <w:autoSpaceDE/>
        <w:autoSpaceDN/>
        <w:bidi w:val="0"/>
        <w:adjustRightInd/>
        <w:snapToGrid/>
        <w:spacing w:line="460" w:lineRule="exact"/>
        <w:ind w:firstLine="482" w:firstLineChars="20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非单一产品采购项目，采购人应当根据采购项目技术构成、产品价格比重等合理确定核心产品，并在招标文件中载明。多家投标人提供的核心产品品牌相同的，按前款规定处理。</w:t>
      </w:r>
    </w:p>
    <w:p w14:paraId="4C1FDC5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firstLine="482" w:firstLineChars="20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lang w:val="en-US" w:eastAsia="zh-CN"/>
        </w:rPr>
        <w:t>2.</w:t>
      </w:r>
      <w:r>
        <w:rPr>
          <w:rFonts w:hint="eastAsia" w:ascii="仿宋_GB2312" w:hAnsi="仿宋_GB2312" w:eastAsia="仿宋_GB2312" w:cs="仿宋_GB2312"/>
          <w:b/>
          <w:sz w:val="24"/>
          <w:szCs w:val="24"/>
        </w:rPr>
        <w:t>评分标准：</w:t>
      </w:r>
      <w:r>
        <w:rPr>
          <w:rFonts w:hint="eastAsia" w:ascii="仿宋_GB2312" w:hAnsi="仿宋_GB2312" w:eastAsia="仿宋_GB2312" w:cs="仿宋_GB2312"/>
          <w:sz w:val="24"/>
          <w:szCs w:val="24"/>
        </w:rPr>
        <w:t>共100分，其中商务技术分</w:t>
      </w:r>
      <w:r>
        <w:rPr>
          <w:rFonts w:hint="eastAsia" w:ascii="仿宋_GB2312" w:hAnsi="仿宋_GB2312" w:eastAsia="仿宋_GB2312" w:cs="仿宋_GB2312"/>
          <w:sz w:val="24"/>
          <w:szCs w:val="24"/>
          <w:lang w:val="en-US" w:eastAsia="zh-CN"/>
        </w:rPr>
        <w:t>8</w:t>
      </w:r>
      <w:r>
        <w:rPr>
          <w:rFonts w:hint="eastAsia" w:ascii="仿宋_GB2312" w:hAnsi="仿宋_GB2312" w:eastAsia="仿宋_GB2312" w:cs="仿宋_GB2312"/>
          <w:sz w:val="24"/>
          <w:szCs w:val="24"/>
        </w:rPr>
        <w:t>0分，价格分</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0分。评分依下述所列为评标打分依据，分值如下（计算分值时，按其算术平均值保留小数2位）。</w:t>
      </w:r>
    </w:p>
    <w:p w14:paraId="31CE0E1C">
      <w:pPr>
        <w:keepNext w:val="0"/>
        <w:keepLines w:val="0"/>
        <w:pageBreakBefore w:val="0"/>
        <w:widowControl w:val="0"/>
        <w:kinsoku/>
        <w:wordWrap/>
        <w:overflowPunct/>
        <w:topLinePunct w:val="0"/>
        <w:autoSpaceDE/>
        <w:autoSpaceDN/>
        <w:bidi w:val="0"/>
        <w:adjustRightInd/>
        <w:snapToGrid/>
        <w:spacing w:line="460" w:lineRule="exact"/>
        <w:ind w:firstLine="482" w:firstLineChars="200"/>
        <w:jc w:val="both"/>
        <w:textAlignment w:val="auto"/>
        <w:rPr>
          <w:rFonts w:hint="eastAsia" w:ascii="仿宋_GB2312" w:hAnsi="仿宋_GB2312" w:eastAsia="仿宋_GB2312" w:cs="仿宋_GB2312"/>
          <w:b/>
          <w:bCs/>
          <w:iCs/>
          <w:sz w:val="24"/>
          <w:szCs w:val="24"/>
        </w:rPr>
      </w:pPr>
      <w:r>
        <w:rPr>
          <w:rFonts w:hint="eastAsia" w:ascii="仿宋_GB2312" w:hAnsi="仿宋_GB2312" w:eastAsia="仿宋_GB2312" w:cs="仿宋_GB2312"/>
          <w:b/>
          <w:bCs/>
          <w:iCs/>
          <w:sz w:val="24"/>
          <w:szCs w:val="24"/>
          <w:lang w:val="en-US" w:eastAsia="zh-CN"/>
        </w:rPr>
        <w:t>2.1</w:t>
      </w:r>
      <w:r>
        <w:rPr>
          <w:rFonts w:hint="eastAsia" w:ascii="仿宋_GB2312" w:hAnsi="仿宋_GB2312" w:eastAsia="仿宋_GB2312" w:cs="仿宋_GB2312"/>
          <w:b/>
          <w:bCs/>
          <w:iCs/>
          <w:sz w:val="24"/>
          <w:szCs w:val="24"/>
        </w:rPr>
        <w:t>商务技术分（</w:t>
      </w:r>
      <w:r>
        <w:rPr>
          <w:rFonts w:hint="eastAsia" w:ascii="仿宋_GB2312" w:hAnsi="仿宋_GB2312" w:eastAsia="仿宋_GB2312" w:cs="仿宋_GB2312"/>
          <w:b/>
          <w:bCs/>
          <w:iCs/>
          <w:sz w:val="24"/>
          <w:szCs w:val="24"/>
          <w:lang w:val="en-US" w:eastAsia="zh-CN"/>
        </w:rPr>
        <w:t>8</w:t>
      </w:r>
      <w:r>
        <w:rPr>
          <w:rFonts w:hint="eastAsia" w:ascii="仿宋_GB2312" w:hAnsi="仿宋_GB2312" w:eastAsia="仿宋_GB2312" w:cs="仿宋_GB2312"/>
          <w:b/>
          <w:bCs/>
          <w:iCs/>
          <w:sz w:val="24"/>
          <w:szCs w:val="24"/>
        </w:rPr>
        <w:t>0分）</w:t>
      </w:r>
    </w:p>
    <w:tbl>
      <w:tblPr>
        <w:tblStyle w:val="12"/>
        <w:tblpPr w:leftFromText="180" w:rightFromText="180" w:vertAnchor="text" w:horzAnchor="page" w:tblpX="1706" w:tblpY="120"/>
        <w:tblOverlap w:val="never"/>
        <w:tblW w:w="8730" w:type="dxa"/>
        <w:tblInd w:w="0" w:type="dxa"/>
        <w:tblLayout w:type="fixed"/>
        <w:tblCellMar>
          <w:top w:w="0" w:type="dxa"/>
          <w:left w:w="108" w:type="dxa"/>
          <w:bottom w:w="0" w:type="dxa"/>
          <w:right w:w="108" w:type="dxa"/>
        </w:tblCellMar>
      </w:tblPr>
      <w:tblGrid>
        <w:gridCol w:w="765"/>
        <w:gridCol w:w="1560"/>
        <w:gridCol w:w="5415"/>
        <w:gridCol w:w="990"/>
      </w:tblGrid>
      <w:tr w14:paraId="7BBA273B">
        <w:tblPrEx>
          <w:tblCellMar>
            <w:top w:w="0" w:type="dxa"/>
            <w:left w:w="108" w:type="dxa"/>
            <w:bottom w:w="0" w:type="dxa"/>
            <w:right w:w="108" w:type="dxa"/>
          </w:tblCellMar>
        </w:tblPrEx>
        <w:trPr>
          <w:trHeight w:val="559" w:hRule="atLeast"/>
        </w:trPr>
        <w:tc>
          <w:tcPr>
            <w:tcW w:w="765" w:type="dxa"/>
            <w:tcBorders>
              <w:top w:val="single" w:color="auto" w:sz="4" w:space="0"/>
              <w:left w:val="single" w:color="auto" w:sz="4" w:space="0"/>
              <w:bottom w:val="single" w:color="auto" w:sz="4" w:space="0"/>
              <w:right w:val="single" w:color="auto" w:sz="4" w:space="0"/>
            </w:tcBorders>
            <w:noWrap w:val="0"/>
            <w:vAlign w:val="center"/>
          </w:tcPr>
          <w:p w14:paraId="5F19D862">
            <w:pPr>
              <w:keepNext w:val="0"/>
              <w:keepLines w:val="0"/>
              <w:pageBreakBefore w:val="0"/>
              <w:widowControl/>
              <w:kinsoku/>
              <w:wordWrap/>
              <w:overflowPunct/>
              <w:topLinePunct w:val="0"/>
              <w:bidi w:val="0"/>
              <w:adjustRightInd/>
              <w:snapToGrid w:val="0"/>
              <w:spacing w:line="460" w:lineRule="exact"/>
              <w:ind w:left="0" w:leftChars="0" w:right="0" w:rightChars="0"/>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序号</w:t>
            </w:r>
          </w:p>
        </w:tc>
        <w:tc>
          <w:tcPr>
            <w:tcW w:w="1560" w:type="dxa"/>
            <w:tcBorders>
              <w:top w:val="single" w:color="auto" w:sz="4" w:space="0"/>
              <w:left w:val="nil"/>
              <w:right w:val="single" w:color="auto" w:sz="4" w:space="0"/>
            </w:tcBorders>
            <w:noWrap w:val="0"/>
            <w:vAlign w:val="center"/>
          </w:tcPr>
          <w:p w14:paraId="58121918">
            <w:pPr>
              <w:keepNext w:val="0"/>
              <w:keepLines w:val="0"/>
              <w:pageBreakBefore w:val="0"/>
              <w:kinsoku/>
              <w:wordWrap/>
              <w:overflowPunct/>
              <w:topLinePunct w:val="0"/>
              <w:bidi w:val="0"/>
              <w:adjustRightInd/>
              <w:snapToGrid w:val="0"/>
              <w:spacing w:line="460" w:lineRule="exact"/>
              <w:ind w:left="0" w:leftChars="0" w:right="0" w:rightChars="0"/>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评分项</w:t>
            </w:r>
          </w:p>
        </w:tc>
        <w:tc>
          <w:tcPr>
            <w:tcW w:w="5415" w:type="dxa"/>
            <w:tcBorders>
              <w:top w:val="single" w:color="auto" w:sz="4" w:space="0"/>
              <w:left w:val="nil"/>
              <w:right w:val="single" w:color="auto" w:sz="4" w:space="0"/>
            </w:tcBorders>
            <w:noWrap w:val="0"/>
            <w:vAlign w:val="center"/>
          </w:tcPr>
          <w:p w14:paraId="165FFB24">
            <w:pPr>
              <w:keepNext w:val="0"/>
              <w:keepLines w:val="0"/>
              <w:pageBreakBefore w:val="0"/>
              <w:kinsoku/>
              <w:wordWrap/>
              <w:overflowPunct/>
              <w:topLinePunct w:val="0"/>
              <w:bidi w:val="0"/>
              <w:adjustRightInd/>
              <w:spacing w:line="460" w:lineRule="exact"/>
              <w:ind w:left="0" w:leftChars="0" w:right="0" w:rightChars="0"/>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评分标准</w:t>
            </w:r>
          </w:p>
        </w:tc>
        <w:tc>
          <w:tcPr>
            <w:tcW w:w="990" w:type="dxa"/>
            <w:tcBorders>
              <w:top w:val="single" w:color="auto" w:sz="4" w:space="0"/>
              <w:left w:val="nil"/>
              <w:right w:val="single" w:color="auto" w:sz="4" w:space="0"/>
            </w:tcBorders>
            <w:noWrap w:val="0"/>
            <w:vAlign w:val="center"/>
          </w:tcPr>
          <w:p w14:paraId="3E421778">
            <w:pPr>
              <w:keepNext w:val="0"/>
              <w:keepLines w:val="0"/>
              <w:pageBreakBefore w:val="0"/>
              <w:widowControl/>
              <w:kinsoku/>
              <w:wordWrap/>
              <w:overflowPunct/>
              <w:topLinePunct w:val="0"/>
              <w:bidi w:val="0"/>
              <w:adjustRightInd/>
              <w:snapToGrid w:val="0"/>
              <w:spacing w:line="460" w:lineRule="exact"/>
              <w:ind w:left="0" w:leftChars="0" w:right="0" w:rightChars="0"/>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分数</w:t>
            </w:r>
          </w:p>
        </w:tc>
      </w:tr>
      <w:tr w14:paraId="2E6D63AE">
        <w:tblPrEx>
          <w:tblCellMar>
            <w:top w:w="0" w:type="dxa"/>
            <w:left w:w="108" w:type="dxa"/>
            <w:bottom w:w="0" w:type="dxa"/>
            <w:right w:w="108" w:type="dxa"/>
          </w:tblCellMar>
        </w:tblPrEx>
        <w:trPr>
          <w:trHeight w:val="90" w:hRule="atLeast"/>
        </w:trPr>
        <w:tc>
          <w:tcPr>
            <w:tcW w:w="765" w:type="dxa"/>
            <w:tcBorders>
              <w:top w:val="nil"/>
              <w:left w:val="single" w:color="auto" w:sz="4" w:space="0"/>
              <w:bottom w:val="single" w:color="auto" w:sz="4" w:space="0"/>
              <w:right w:val="single" w:color="auto" w:sz="4" w:space="0"/>
            </w:tcBorders>
            <w:noWrap w:val="0"/>
            <w:vAlign w:val="center"/>
          </w:tcPr>
          <w:p w14:paraId="21DD9F22">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560" w:type="dxa"/>
            <w:tcBorders>
              <w:top w:val="single" w:color="auto" w:sz="4" w:space="0"/>
              <w:left w:val="nil"/>
              <w:bottom w:val="single" w:color="auto" w:sz="4" w:space="0"/>
              <w:right w:val="single" w:color="auto" w:sz="4" w:space="0"/>
            </w:tcBorders>
            <w:noWrap w:val="0"/>
            <w:vAlign w:val="center"/>
          </w:tcPr>
          <w:p w14:paraId="238E941A">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exact"/>
              <w:jc w:val="center"/>
              <w:textAlignment w:val="auto"/>
              <w:rPr>
                <w:rFonts w:hint="eastAsia" w:ascii="仿宋_GB2312" w:hAnsi="仿宋_GB2312" w:eastAsia="仿宋_GB2312" w:cs="仿宋_GB2312"/>
                <w:b w:val="0"/>
                <w:bCs/>
                <w:color w:val="auto"/>
                <w:sz w:val="21"/>
                <w:szCs w:val="21"/>
                <w:highlight w:val="none"/>
              </w:rPr>
            </w:pPr>
            <w:r>
              <w:rPr>
                <w:rFonts w:hint="eastAsia" w:ascii="仿宋_GB2312" w:hAnsi="仿宋_GB2312" w:eastAsia="仿宋_GB2312" w:cs="仿宋_GB2312"/>
                <w:b w:val="0"/>
                <w:bCs/>
                <w:color w:val="auto"/>
                <w:sz w:val="21"/>
                <w:szCs w:val="21"/>
                <w:highlight w:val="none"/>
              </w:rPr>
              <w:t>投标人</w:t>
            </w:r>
          </w:p>
          <w:p w14:paraId="345F8107">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exact"/>
              <w:jc w:val="center"/>
              <w:textAlignment w:val="auto"/>
              <w:rPr>
                <w:rFonts w:hint="eastAsia" w:ascii="仿宋_GB2312" w:hAnsi="仿宋_GB2312" w:eastAsia="仿宋_GB2312" w:cs="仿宋_GB2312"/>
                <w:b w:val="0"/>
                <w:bCs/>
                <w:color w:val="auto"/>
                <w:sz w:val="21"/>
                <w:szCs w:val="21"/>
                <w:highlight w:val="none"/>
              </w:rPr>
            </w:pPr>
            <w:r>
              <w:rPr>
                <w:rFonts w:hint="eastAsia" w:ascii="仿宋_GB2312" w:hAnsi="仿宋_GB2312" w:eastAsia="仿宋_GB2312" w:cs="仿宋_GB2312"/>
                <w:b w:val="0"/>
                <w:bCs/>
                <w:color w:val="auto"/>
                <w:sz w:val="21"/>
                <w:szCs w:val="21"/>
                <w:highlight w:val="none"/>
              </w:rPr>
              <w:t>综合实力</w:t>
            </w:r>
          </w:p>
          <w:p w14:paraId="6899B7FE">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exact"/>
              <w:jc w:val="center"/>
              <w:textAlignment w:val="auto"/>
              <w:rPr>
                <w:rFonts w:hint="eastAsia"/>
                <w:sz w:val="21"/>
                <w:szCs w:val="21"/>
              </w:rPr>
            </w:pPr>
            <w:r>
              <w:rPr>
                <w:rFonts w:hint="eastAsia" w:ascii="仿宋_GB2312" w:hAnsi="仿宋_GB2312" w:eastAsia="仿宋_GB2312" w:cs="仿宋_GB2312"/>
                <w:b w:val="0"/>
                <w:bCs/>
                <w:color w:val="auto"/>
                <w:sz w:val="21"/>
                <w:szCs w:val="21"/>
                <w:highlight w:val="none"/>
              </w:rPr>
              <w:t>（</w:t>
            </w:r>
            <w:r>
              <w:rPr>
                <w:rFonts w:hint="eastAsia" w:ascii="仿宋_GB2312" w:hAnsi="仿宋_GB2312" w:eastAsia="仿宋_GB2312" w:cs="仿宋_GB2312"/>
                <w:b w:val="0"/>
                <w:bCs/>
                <w:color w:val="auto"/>
                <w:sz w:val="21"/>
                <w:szCs w:val="21"/>
                <w:highlight w:val="none"/>
                <w:lang w:val="en-US" w:eastAsia="zh-CN"/>
              </w:rPr>
              <w:t>20</w:t>
            </w:r>
            <w:r>
              <w:rPr>
                <w:rFonts w:hint="eastAsia" w:ascii="仿宋_GB2312" w:hAnsi="仿宋_GB2312" w:eastAsia="仿宋_GB2312" w:cs="仿宋_GB2312"/>
                <w:b w:val="0"/>
                <w:bCs/>
                <w:color w:val="auto"/>
                <w:sz w:val="21"/>
                <w:szCs w:val="21"/>
                <w:highlight w:val="none"/>
              </w:rPr>
              <w:t>分）</w:t>
            </w:r>
          </w:p>
        </w:tc>
        <w:tc>
          <w:tcPr>
            <w:tcW w:w="5415" w:type="dxa"/>
            <w:tcBorders>
              <w:top w:val="single" w:color="auto" w:sz="4" w:space="0"/>
              <w:left w:val="nil"/>
              <w:bottom w:val="single" w:color="auto" w:sz="4" w:space="0"/>
              <w:right w:val="single" w:color="auto" w:sz="4" w:space="0"/>
            </w:tcBorders>
            <w:noWrap w:val="0"/>
            <w:vAlign w:val="top"/>
          </w:tcPr>
          <w:p w14:paraId="1C35E0D7">
            <w:pPr>
              <w:keepNext w:val="0"/>
              <w:keepLines w:val="0"/>
              <w:pageBreakBefore w:val="0"/>
              <w:kinsoku/>
              <w:wordWrap/>
              <w:overflowPunct/>
              <w:topLinePunct w:val="0"/>
              <w:autoSpaceDE/>
              <w:autoSpaceDN/>
              <w:bidi w:val="0"/>
              <w:adjustRightInd/>
              <w:snapToGrid/>
              <w:spacing w:line="360" w:lineRule="exact"/>
              <w:ind w:left="0" w:leftChars="0" w:right="0" w:rightChars="0"/>
              <w:jc w:val="left"/>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kern w:val="2"/>
                <w:sz w:val="21"/>
                <w:szCs w:val="21"/>
                <w:highlight w:val="none"/>
                <w:lang w:val="en-US" w:eastAsia="zh-CN" w:bidi="ar-SA"/>
              </w:rPr>
              <w:t>.拟派项目负责人情况：</w:t>
            </w:r>
          </w:p>
          <w:p w14:paraId="10BEB49B">
            <w:pPr>
              <w:pStyle w:val="6"/>
              <w:keepNext w:val="0"/>
              <w:keepLines w:val="0"/>
              <w:pageBreakBefore w:val="0"/>
              <w:numPr>
                <w:ilvl w:val="0"/>
                <w:numId w:val="0"/>
              </w:numPr>
              <w:kinsoku/>
              <w:wordWrap/>
              <w:overflowPunct/>
              <w:topLinePunct w:val="0"/>
              <w:autoSpaceDE/>
              <w:autoSpaceDN/>
              <w:bidi w:val="0"/>
              <w:adjustRightInd/>
              <w:snapToGrid/>
              <w:spacing w:line="360" w:lineRule="exact"/>
              <w:ind w:left="0" w:leftChars="0" w:right="0" w:rightChars="0"/>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000000"/>
                <w:kern w:val="2"/>
                <w:sz w:val="21"/>
                <w:szCs w:val="21"/>
                <w:highlight w:val="none"/>
                <w:shd w:val="clear" w:color="auto" w:fill="auto"/>
                <w:lang w:val="en-US" w:eastAsia="zh-CN" w:bidi="ar-SA"/>
              </w:rPr>
              <w:t>投标人拟派项目负责人</w:t>
            </w:r>
            <w:r>
              <w:rPr>
                <w:rFonts w:hint="eastAsia" w:ascii="仿宋_GB2312" w:hAnsi="仿宋_GB2312" w:eastAsia="仿宋_GB2312" w:cs="仿宋_GB2312"/>
                <w:color w:val="auto"/>
                <w:kern w:val="2"/>
                <w:sz w:val="21"/>
                <w:szCs w:val="21"/>
                <w:highlight w:val="none"/>
                <w:lang w:val="en-US" w:eastAsia="zh-CN" w:bidi="ar-SA"/>
              </w:rPr>
              <w:t>具有5年及以上项目管理经验（以本投标公司社保时间为准）、国家保密部门颁发的档案培训证书、省级（含）以上档案培训部门颁发的《档案安全保密培训证书》、省级（含）以上档案培训部门颁发的《</w:t>
            </w:r>
            <w:r>
              <w:rPr>
                <w:rFonts w:hint="eastAsia" w:ascii="仿宋_GB2312" w:hAnsi="仿宋_GB2312" w:eastAsia="仿宋_GB2312" w:cs="仿宋_GB2312"/>
                <w:color w:val="auto"/>
                <w:kern w:val="2"/>
                <w:sz w:val="21"/>
                <w:szCs w:val="21"/>
                <w:highlight w:val="none"/>
                <w:lang w:val="zh-CN" w:eastAsia="zh-CN" w:bidi="ar-SA"/>
              </w:rPr>
              <w:t>档案项目经理高级研修班证书</w:t>
            </w:r>
            <w:r>
              <w:rPr>
                <w:rFonts w:hint="eastAsia" w:ascii="仿宋_GB2312" w:hAnsi="仿宋_GB2312" w:eastAsia="仿宋_GB2312" w:cs="仿宋_GB2312"/>
                <w:color w:val="auto"/>
                <w:kern w:val="2"/>
                <w:sz w:val="21"/>
                <w:szCs w:val="21"/>
                <w:highlight w:val="none"/>
                <w:lang w:val="en-US" w:eastAsia="zh-CN" w:bidi="ar-SA"/>
              </w:rPr>
              <w:t>》</w:t>
            </w:r>
            <w:r>
              <w:rPr>
                <w:rFonts w:hint="eastAsia" w:ascii="仿宋_GB2312" w:hAnsi="仿宋_GB2312" w:eastAsia="仿宋_GB2312" w:cs="仿宋_GB2312"/>
                <w:color w:val="auto"/>
                <w:kern w:val="2"/>
                <w:sz w:val="21"/>
                <w:szCs w:val="21"/>
                <w:highlight w:val="none"/>
                <w:lang w:val="zh-CN" w:eastAsia="zh-CN" w:bidi="ar-SA"/>
              </w:rPr>
              <w:t>、档案馆出具的《档案专业人员培训证书》，</w:t>
            </w:r>
            <w:r>
              <w:rPr>
                <w:rFonts w:hint="eastAsia" w:ascii="仿宋_GB2312" w:hAnsi="仿宋_GB2312" w:eastAsia="仿宋_GB2312" w:cs="仿宋_GB2312"/>
                <w:color w:val="auto"/>
                <w:kern w:val="2"/>
                <w:sz w:val="21"/>
                <w:szCs w:val="21"/>
                <w:highlight w:val="none"/>
                <w:lang w:val="en-US" w:eastAsia="zh-CN" w:bidi="ar-SA"/>
              </w:rPr>
              <w:t>全部具备得10分，具备其中3项得5分，具备其中一项得1分，不具备不得分。</w:t>
            </w:r>
            <w:r>
              <w:rPr>
                <w:rFonts w:hint="eastAsia" w:ascii="仿宋_GB2312" w:hAnsi="仿宋_GB2312" w:eastAsia="仿宋_GB2312" w:cs="仿宋_GB2312"/>
                <w:color w:val="000000"/>
                <w:kern w:val="2"/>
                <w:sz w:val="21"/>
                <w:szCs w:val="21"/>
                <w:highlight w:val="none"/>
                <w:lang w:val="en-US" w:eastAsia="zh-CN" w:bidi="ar-SA"/>
              </w:rPr>
              <w:t>（投标人提供的证书，培训内容须涉档案相关；另附投标截止前本单位为相关人员缴纳的社保证明复印件，所有复印件均加盖投标人公章。）</w:t>
            </w:r>
          </w:p>
          <w:p w14:paraId="7265B11B">
            <w:pPr>
              <w:pStyle w:val="6"/>
              <w:keepNext w:val="0"/>
              <w:keepLines w:val="0"/>
              <w:pageBreakBefore w:val="0"/>
              <w:numPr>
                <w:ilvl w:val="0"/>
                <w:numId w:val="0"/>
              </w:numPr>
              <w:kinsoku/>
              <w:wordWrap/>
              <w:overflowPunct/>
              <w:topLinePunct w:val="0"/>
              <w:autoSpaceDE/>
              <w:autoSpaceDN/>
              <w:bidi w:val="0"/>
              <w:adjustRightInd/>
              <w:snapToGrid/>
              <w:spacing w:line="360" w:lineRule="exact"/>
              <w:ind w:left="0" w:leftChars="0" w:right="0" w:rightChars="0"/>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2.其他人员（除项目负责人）：投标人派驻项目的其他人员具有档案局颁发的《档案专业人员培训证书》每配置一名得1分，共5分。</w:t>
            </w:r>
            <w:r>
              <w:rPr>
                <w:rFonts w:hint="eastAsia" w:ascii="仿宋_GB2312" w:hAnsi="仿宋_GB2312" w:eastAsia="仿宋_GB2312" w:cs="仿宋_GB2312"/>
                <w:color w:val="000000"/>
                <w:sz w:val="21"/>
                <w:szCs w:val="21"/>
                <w:highlight w:val="none"/>
                <w:lang w:eastAsia="zh-CN"/>
              </w:rPr>
              <w:t>（</w:t>
            </w:r>
            <w:r>
              <w:rPr>
                <w:rFonts w:hint="eastAsia" w:ascii="仿宋_GB2312" w:hAnsi="仿宋_GB2312" w:eastAsia="仿宋_GB2312" w:cs="仿宋_GB2312"/>
                <w:color w:val="000000"/>
                <w:kern w:val="2"/>
                <w:sz w:val="21"/>
                <w:szCs w:val="21"/>
                <w:highlight w:val="none"/>
                <w:lang w:val="en-US" w:eastAsia="zh-CN" w:bidi="ar-SA"/>
              </w:rPr>
              <w:t>提供有效期内证书复印件及社保证明加盖投标人公章，否则不得分。</w:t>
            </w:r>
            <w:r>
              <w:rPr>
                <w:rFonts w:hint="eastAsia" w:ascii="仿宋_GB2312" w:hAnsi="仿宋_GB2312" w:eastAsia="仿宋_GB2312" w:cs="仿宋_GB2312"/>
                <w:color w:val="000000"/>
                <w:sz w:val="21"/>
                <w:szCs w:val="21"/>
                <w:highlight w:val="none"/>
                <w:lang w:eastAsia="zh-CN"/>
              </w:rPr>
              <w:t>）</w:t>
            </w:r>
          </w:p>
          <w:p w14:paraId="66312237">
            <w:pPr>
              <w:pStyle w:val="6"/>
              <w:keepNext w:val="0"/>
              <w:keepLines w:val="0"/>
              <w:pageBreakBefore w:val="0"/>
              <w:numPr>
                <w:ilvl w:val="0"/>
                <w:numId w:val="0"/>
              </w:numPr>
              <w:kinsoku/>
              <w:wordWrap/>
              <w:overflowPunct/>
              <w:topLinePunct w:val="0"/>
              <w:autoSpaceDE/>
              <w:autoSpaceDN/>
              <w:bidi w:val="0"/>
              <w:adjustRightInd/>
              <w:snapToGrid/>
              <w:spacing w:line="360" w:lineRule="exact"/>
              <w:ind w:left="0" w:leftChars="0" w:right="0" w:rightChars="0"/>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kern w:val="2"/>
                <w:sz w:val="21"/>
                <w:szCs w:val="21"/>
                <w:highlight w:val="none"/>
                <w:lang w:val="en-US" w:eastAsia="zh-CN" w:bidi="ar-SA"/>
              </w:rPr>
              <w:t>3.投标人具有档案数字化成果与档案管理同步软件著作权登记证书、档案智能整理与数字化存储系统、电子档案涉密检测系统、电子档案安全移交监测系统、档案数据安全防篡改预警等相关的著作权登记证书的，每项得1分，最高5分。（提供有效期内证书复印件加盖投标人公章，否则不得分。）</w:t>
            </w:r>
          </w:p>
        </w:tc>
        <w:tc>
          <w:tcPr>
            <w:tcW w:w="990" w:type="dxa"/>
            <w:tcBorders>
              <w:top w:val="single" w:color="auto" w:sz="4" w:space="0"/>
              <w:left w:val="nil"/>
              <w:bottom w:val="single" w:color="auto" w:sz="4" w:space="0"/>
              <w:right w:val="single" w:color="auto" w:sz="4" w:space="0"/>
            </w:tcBorders>
            <w:noWrap w:val="0"/>
            <w:vAlign w:val="center"/>
          </w:tcPr>
          <w:p w14:paraId="6730E65D">
            <w:pPr>
              <w:keepNext w:val="0"/>
              <w:keepLines w:val="0"/>
              <w:pageBreakBefore w:val="0"/>
              <w:kinsoku/>
              <w:wordWrap/>
              <w:overflowPunct/>
              <w:topLinePunct w:val="0"/>
              <w:bidi w:val="0"/>
              <w:adjustRightInd/>
              <w:snapToGrid w:val="0"/>
              <w:spacing w:line="460" w:lineRule="exact"/>
              <w:ind w:left="0" w:leftChars="0" w:right="0" w:right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20</w:t>
            </w:r>
            <w:r>
              <w:rPr>
                <w:rFonts w:hint="eastAsia" w:ascii="仿宋_GB2312" w:hAnsi="仿宋_GB2312" w:eastAsia="仿宋_GB2312" w:cs="仿宋_GB2312"/>
                <w:color w:val="auto"/>
                <w:sz w:val="21"/>
                <w:szCs w:val="21"/>
                <w:highlight w:val="none"/>
              </w:rPr>
              <w:t>分</w:t>
            </w:r>
          </w:p>
        </w:tc>
      </w:tr>
      <w:tr w14:paraId="2A1D66F5">
        <w:tblPrEx>
          <w:tblCellMar>
            <w:top w:w="0" w:type="dxa"/>
            <w:left w:w="108" w:type="dxa"/>
            <w:bottom w:w="0" w:type="dxa"/>
            <w:right w:w="108" w:type="dxa"/>
          </w:tblCellMar>
        </w:tblPrEx>
        <w:trPr>
          <w:trHeight w:val="1251" w:hRule="atLeast"/>
        </w:trPr>
        <w:tc>
          <w:tcPr>
            <w:tcW w:w="765" w:type="dxa"/>
            <w:tcBorders>
              <w:top w:val="single" w:color="auto" w:sz="4" w:space="0"/>
              <w:left w:val="single" w:color="auto" w:sz="4" w:space="0"/>
              <w:bottom w:val="single" w:color="auto" w:sz="4" w:space="0"/>
              <w:right w:val="single" w:color="auto" w:sz="4" w:space="0"/>
            </w:tcBorders>
            <w:noWrap w:val="0"/>
            <w:vAlign w:val="center"/>
          </w:tcPr>
          <w:p w14:paraId="7669AAD9">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1560" w:type="dxa"/>
            <w:tcBorders>
              <w:top w:val="single" w:color="auto" w:sz="4" w:space="0"/>
              <w:left w:val="nil"/>
              <w:bottom w:val="single" w:color="auto" w:sz="4" w:space="0"/>
              <w:right w:val="single" w:color="auto" w:sz="4" w:space="0"/>
            </w:tcBorders>
            <w:noWrap w:val="0"/>
            <w:vAlign w:val="center"/>
          </w:tcPr>
          <w:p w14:paraId="19C55298">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类似业绩</w:t>
            </w:r>
          </w:p>
          <w:p w14:paraId="217E23D8">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2分）</w:t>
            </w:r>
          </w:p>
        </w:tc>
        <w:tc>
          <w:tcPr>
            <w:tcW w:w="5415" w:type="dxa"/>
            <w:tcBorders>
              <w:top w:val="single" w:color="auto" w:sz="4" w:space="0"/>
              <w:left w:val="nil"/>
              <w:bottom w:val="single" w:color="auto" w:sz="4" w:space="0"/>
              <w:right w:val="single" w:color="auto" w:sz="4" w:space="0"/>
            </w:tcBorders>
            <w:noWrap w:val="0"/>
            <w:vAlign w:val="top"/>
          </w:tcPr>
          <w:p w14:paraId="29B90695">
            <w:pPr>
              <w:pStyle w:val="4"/>
              <w:keepNext w:val="0"/>
              <w:keepLines w:val="0"/>
              <w:pageBreakBefore w:val="0"/>
              <w:kinsoku/>
              <w:wordWrap/>
              <w:overflowPunct/>
              <w:topLinePunct w:val="0"/>
              <w:autoSpaceDE/>
              <w:autoSpaceDN/>
              <w:bidi w:val="0"/>
              <w:adjustRightInd/>
              <w:snapToGrid/>
              <w:spacing w:line="360" w:lineRule="exact"/>
              <w:ind w:left="0" w:leftChars="0" w:right="0" w:rightChars="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2"/>
                <w:sz w:val="21"/>
                <w:szCs w:val="21"/>
                <w:highlight w:val="none"/>
                <w:lang w:val="en-US" w:eastAsia="zh-CN" w:bidi="ar-SA"/>
              </w:rPr>
              <w:t>投标人提供2023年7月1日至今案例合同（以合同签定日为准），同类项目业绩每提供一个得1分，最高得2分。在投标文件中提供合同原件扫描件并加盖投标人公章，否则不得分。</w:t>
            </w:r>
          </w:p>
        </w:tc>
        <w:tc>
          <w:tcPr>
            <w:tcW w:w="990" w:type="dxa"/>
            <w:tcBorders>
              <w:top w:val="single" w:color="auto" w:sz="4" w:space="0"/>
              <w:left w:val="nil"/>
              <w:bottom w:val="single" w:color="auto" w:sz="4" w:space="0"/>
              <w:right w:val="single" w:color="auto" w:sz="4" w:space="0"/>
            </w:tcBorders>
            <w:noWrap w:val="0"/>
            <w:vAlign w:val="center"/>
          </w:tcPr>
          <w:p w14:paraId="216D2CBC">
            <w:pPr>
              <w:keepNext w:val="0"/>
              <w:keepLines w:val="0"/>
              <w:pageBreakBefore w:val="0"/>
              <w:widowControl/>
              <w:kinsoku/>
              <w:wordWrap/>
              <w:overflowPunct/>
              <w:topLinePunct w:val="0"/>
              <w:bidi w:val="0"/>
              <w:adjustRightInd/>
              <w:snapToGrid w:val="0"/>
              <w:spacing w:line="460" w:lineRule="exact"/>
              <w:ind w:left="0" w:leftChars="0" w:right="0" w:right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2</w:t>
            </w:r>
            <w:r>
              <w:rPr>
                <w:rFonts w:hint="eastAsia" w:ascii="仿宋_GB2312" w:hAnsi="仿宋_GB2312" w:eastAsia="仿宋_GB2312" w:cs="仿宋_GB2312"/>
                <w:color w:val="auto"/>
                <w:sz w:val="21"/>
                <w:szCs w:val="21"/>
                <w:highlight w:val="none"/>
              </w:rPr>
              <w:t>分</w:t>
            </w:r>
          </w:p>
        </w:tc>
      </w:tr>
      <w:tr w14:paraId="08DA86D4">
        <w:tblPrEx>
          <w:tblCellMar>
            <w:top w:w="0" w:type="dxa"/>
            <w:left w:w="108" w:type="dxa"/>
            <w:bottom w:w="0" w:type="dxa"/>
            <w:right w:w="108" w:type="dxa"/>
          </w:tblCellMar>
        </w:tblPrEx>
        <w:trPr>
          <w:trHeight w:val="945" w:hRule="atLeast"/>
        </w:trPr>
        <w:tc>
          <w:tcPr>
            <w:tcW w:w="765" w:type="dxa"/>
            <w:tcBorders>
              <w:top w:val="single" w:color="auto" w:sz="4" w:space="0"/>
              <w:left w:val="single" w:color="auto" w:sz="4" w:space="0"/>
              <w:bottom w:val="single" w:color="auto" w:sz="4" w:space="0"/>
              <w:right w:val="single" w:color="auto" w:sz="4" w:space="0"/>
            </w:tcBorders>
            <w:noWrap w:val="0"/>
            <w:vAlign w:val="center"/>
          </w:tcPr>
          <w:p w14:paraId="1E723726">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1560" w:type="dxa"/>
            <w:tcBorders>
              <w:top w:val="single" w:color="auto" w:sz="4" w:space="0"/>
              <w:left w:val="nil"/>
              <w:bottom w:val="single" w:color="auto" w:sz="4" w:space="0"/>
              <w:right w:val="single" w:color="auto" w:sz="4" w:space="0"/>
            </w:tcBorders>
            <w:noWrap w:val="0"/>
            <w:vAlign w:val="center"/>
          </w:tcPr>
          <w:p w14:paraId="52F55BC6">
            <w:pPr>
              <w:keepNext w:val="0"/>
              <w:keepLines w:val="0"/>
              <w:pageBreakBefore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项目整体</w:t>
            </w:r>
          </w:p>
          <w:p w14:paraId="75248814">
            <w:pPr>
              <w:keepNext w:val="0"/>
              <w:keepLines w:val="0"/>
              <w:pageBreakBefore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合理性评价</w:t>
            </w:r>
          </w:p>
          <w:p w14:paraId="69A6686F">
            <w:pPr>
              <w:keepNext w:val="0"/>
              <w:keepLines w:val="0"/>
              <w:pageBreakBefore w:val="0"/>
              <w:kinsoku/>
              <w:wordWrap/>
              <w:overflowPunct/>
              <w:topLinePunct w:val="0"/>
              <w:autoSpaceDE/>
              <w:autoSpaceDN/>
              <w:bidi w:val="0"/>
              <w:adjustRightInd/>
              <w:snapToGrid/>
              <w:spacing w:line="360" w:lineRule="exact"/>
              <w:ind w:left="0" w:leftChars="0" w:right="0" w:rightChars="0"/>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14分）</w:t>
            </w:r>
          </w:p>
        </w:tc>
        <w:tc>
          <w:tcPr>
            <w:tcW w:w="5415" w:type="dxa"/>
            <w:tcBorders>
              <w:top w:val="single" w:color="auto" w:sz="4" w:space="0"/>
              <w:left w:val="nil"/>
              <w:bottom w:val="single" w:color="auto" w:sz="4" w:space="0"/>
              <w:right w:val="single" w:color="auto" w:sz="4" w:space="0"/>
            </w:tcBorders>
            <w:noWrap w:val="0"/>
            <w:vAlign w:val="top"/>
          </w:tcPr>
          <w:p w14:paraId="4BD518E9">
            <w:pPr>
              <w:pStyle w:val="21"/>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针对本项目出具详细的整体方案：</w:t>
            </w:r>
          </w:p>
          <w:p w14:paraId="2B8CC3D3">
            <w:pPr>
              <w:pStyle w:val="21"/>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1、体现档案整理规范加工流程，包括：接收、鉴定、组卷、装订、编号、排架等处理。</w:t>
            </w:r>
          </w:p>
          <w:p w14:paraId="33A8A75B">
            <w:pPr>
              <w:pStyle w:val="21"/>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2、体现纸质档案数字化加工流程，包括：前期检查、扫描、修图、质检、效验、数据挂接、数据备份等处理。</w:t>
            </w:r>
          </w:p>
          <w:p w14:paraId="234D95B0">
            <w:pPr>
              <w:pStyle w:val="21"/>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3、体现投标方案的加工流程管理专业性、可行性是否符合招标文件要求，方案要体现项目进度及计划。</w:t>
            </w:r>
          </w:p>
          <w:p w14:paraId="7247B0D9">
            <w:pPr>
              <w:pStyle w:val="21"/>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根据方案的全面性、可行性、整体性进行综合打分。</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0-14</w:t>
            </w:r>
            <w:r>
              <w:rPr>
                <w:rFonts w:hint="eastAsia" w:ascii="仿宋_GB2312" w:hAnsi="仿宋_GB2312" w:eastAsia="仿宋_GB2312" w:cs="仿宋_GB2312"/>
                <w:color w:val="auto"/>
                <w:sz w:val="21"/>
                <w:szCs w:val="21"/>
                <w:highlight w:val="none"/>
              </w:rPr>
              <w:t>分</w:t>
            </w:r>
            <w:r>
              <w:rPr>
                <w:rFonts w:hint="eastAsia" w:ascii="仿宋_GB2312" w:hAnsi="仿宋_GB2312" w:eastAsia="仿宋_GB2312" w:cs="仿宋_GB2312"/>
                <w:color w:val="auto"/>
                <w:sz w:val="21"/>
                <w:szCs w:val="21"/>
                <w:highlight w:val="none"/>
                <w:lang w:eastAsia="zh-CN"/>
              </w:rPr>
              <w:t>）</w:t>
            </w:r>
          </w:p>
        </w:tc>
        <w:tc>
          <w:tcPr>
            <w:tcW w:w="990" w:type="dxa"/>
            <w:tcBorders>
              <w:top w:val="single" w:color="auto" w:sz="4" w:space="0"/>
              <w:left w:val="nil"/>
              <w:bottom w:val="single" w:color="auto" w:sz="4" w:space="0"/>
              <w:right w:val="single" w:color="auto" w:sz="4" w:space="0"/>
            </w:tcBorders>
            <w:noWrap w:val="0"/>
            <w:vAlign w:val="center"/>
          </w:tcPr>
          <w:p w14:paraId="16808066">
            <w:pPr>
              <w:keepNext w:val="0"/>
              <w:keepLines w:val="0"/>
              <w:pageBreakBefore w:val="0"/>
              <w:widowControl/>
              <w:kinsoku/>
              <w:wordWrap/>
              <w:overflowPunct/>
              <w:topLinePunct w:val="0"/>
              <w:bidi w:val="0"/>
              <w:adjustRightInd/>
              <w:snapToGrid w:val="0"/>
              <w:spacing w:line="460" w:lineRule="exact"/>
              <w:ind w:left="0" w:leftChars="0" w:right="0" w:right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14</w:t>
            </w:r>
            <w:r>
              <w:rPr>
                <w:rFonts w:hint="eastAsia" w:ascii="仿宋_GB2312" w:hAnsi="仿宋_GB2312" w:eastAsia="仿宋_GB2312" w:cs="仿宋_GB2312"/>
                <w:color w:val="auto"/>
                <w:sz w:val="21"/>
                <w:szCs w:val="21"/>
                <w:highlight w:val="none"/>
              </w:rPr>
              <w:t>分</w:t>
            </w:r>
          </w:p>
        </w:tc>
      </w:tr>
      <w:tr w14:paraId="4577C6BC">
        <w:tblPrEx>
          <w:tblCellMar>
            <w:top w:w="0" w:type="dxa"/>
            <w:left w:w="108" w:type="dxa"/>
            <w:bottom w:w="0" w:type="dxa"/>
            <w:right w:w="108" w:type="dxa"/>
          </w:tblCellMar>
        </w:tblPrEx>
        <w:trPr>
          <w:trHeight w:val="473" w:hRule="atLeast"/>
        </w:trPr>
        <w:tc>
          <w:tcPr>
            <w:tcW w:w="765" w:type="dxa"/>
            <w:tcBorders>
              <w:top w:val="single" w:color="auto" w:sz="4" w:space="0"/>
              <w:left w:val="single" w:color="auto" w:sz="4" w:space="0"/>
              <w:bottom w:val="single" w:color="auto" w:sz="4" w:space="0"/>
              <w:right w:val="single" w:color="auto" w:sz="4" w:space="0"/>
            </w:tcBorders>
            <w:noWrap w:val="0"/>
            <w:vAlign w:val="center"/>
          </w:tcPr>
          <w:p w14:paraId="0C70B5BF">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4</w:t>
            </w:r>
          </w:p>
        </w:tc>
        <w:tc>
          <w:tcPr>
            <w:tcW w:w="1560" w:type="dxa"/>
            <w:tcBorders>
              <w:top w:val="single" w:color="auto" w:sz="4" w:space="0"/>
              <w:left w:val="nil"/>
              <w:bottom w:val="single" w:color="auto" w:sz="4" w:space="0"/>
              <w:right w:val="single" w:color="auto" w:sz="4" w:space="0"/>
            </w:tcBorders>
            <w:noWrap w:val="0"/>
            <w:vAlign w:val="center"/>
          </w:tcPr>
          <w:p w14:paraId="0D81B33B">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技术力量</w:t>
            </w:r>
          </w:p>
          <w:p w14:paraId="1256C59B">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12分）</w:t>
            </w:r>
          </w:p>
        </w:tc>
        <w:tc>
          <w:tcPr>
            <w:tcW w:w="5415" w:type="dxa"/>
            <w:tcBorders>
              <w:top w:val="single" w:color="auto" w:sz="4" w:space="0"/>
              <w:left w:val="nil"/>
              <w:bottom w:val="single" w:color="auto" w:sz="4" w:space="0"/>
              <w:right w:val="single" w:color="auto" w:sz="4" w:space="0"/>
            </w:tcBorders>
            <w:noWrap w:val="0"/>
            <w:vAlign w:val="top"/>
          </w:tcPr>
          <w:p w14:paraId="5B3C1B66">
            <w:pPr>
              <w:pStyle w:val="21"/>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评委根据投标人针对数字化成果的数据安全控制，重点展现加工成果数据安全系统的功能，演示内容包括：</w:t>
            </w:r>
          </w:p>
          <w:p w14:paraId="07448465">
            <w:pPr>
              <w:pStyle w:val="21"/>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1、实时监测预警：能实时监测到电子文件包数据，捕捉电子文件的任何异常，对电子档案数据的篡改、丢失等异常能监测到，发现数据异常时可在第一时间通过手 机短信预警、对软件功能的全面性、实用性进行综合评议（0-</w:t>
            </w:r>
            <w:r>
              <w:rPr>
                <w:rFonts w:hint="eastAsia" w:ascii="仿宋_GB2312" w:hAnsi="仿宋_GB2312" w:eastAsia="仿宋_GB2312" w:cs="仿宋_GB2312"/>
                <w:color w:val="auto"/>
                <w:sz w:val="21"/>
                <w:szCs w:val="21"/>
                <w:highlight w:val="none"/>
                <w:lang w:val="en-US" w:eastAsia="zh-CN"/>
              </w:rPr>
              <w:t>3</w:t>
            </w:r>
            <w:r>
              <w:rPr>
                <w:rFonts w:hint="eastAsia" w:ascii="仿宋_GB2312" w:hAnsi="仿宋_GB2312" w:eastAsia="仿宋_GB2312" w:cs="仿宋_GB2312"/>
                <w:color w:val="auto"/>
                <w:sz w:val="21"/>
                <w:szCs w:val="21"/>
                <w:highlight w:val="none"/>
              </w:rPr>
              <w:t>分）；</w:t>
            </w:r>
          </w:p>
          <w:p w14:paraId="22EA377B">
            <w:pPr>
              <w:pStyle w:val="21"/>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2、实时保全修复：检测到数据包异常时，第一时间可以对数据包进行保全，并实现对异常电子文件数据包的修复功能，能恢复篡改和丢失的数据、专家根据对软件功能的全面性、实用性进行综合评议（0-</w:t>
            </w:r>
            <w:r>
              <w:rPr>
                <w:rFonts w:hint="eastAsia" w:ascii="仿宋_GB2312" w:hAnsi="仿宋_GB2312" w:eastAsia="仿宋_GB2312" w:cs="仿宋_GB2312"/>
                <w:color w:val="auto"/>
                <w:sz w:val="21"/>
                <w:szCs w:val="21"/>
                <w:highlight w:val="none"/>
                <w:lang w:val="en-US" w:eastAsia="zh-CN"/>
              </w:rPr>
              <w:t>3</w:t>
            </w:r>
            <w:r>
              <w:rPr>
                <w:rFonts w:hint="eastAsia" w:ascii="仿宋_GB2312" w:hAnsi="仿宋_GB2312" w:eastAsia="仿宋_GB2312" w:cs="仿宋_GB2312"/>
                <w:color w:val="auto"/>
                <w:sz w:val="21"/>
                <w:szCs w:val="21"/>
                <w:highlight w:val="none"/>
              </w:rPr>
              <w:t>分）；</w:t>
            </w:r>
          </w:p>
          <w:p w14:paraId="7BD3E317">
            <w:pPr>
              <w:pStyle w:val="21"/>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3、数据移交保真：对数据移交接收中各个节点进行数据保真，确保数据移交接收过程中数据真实性、可用性进行综合评议（0-</w:t>
            </w:r>
            <w:r>
              <w:rPr>
                <w:rFonts w:hint="eastAsia" w:ascii="仿宋_GB2312" w:hAnsi="仿宋_GB2312" w:eastAsia="仿宋_GB2312" w:cs="仿宋_GB2312"/>
                <w:color w:val="auto"/>
                <w:sz w:val="21"/>
                <w:szCs w:val="21"/>
                <w:highlight w:val="none"/>
                <w:lang w:val="en-US" w:eastAsia="zh-CN"/>
              </w:rPr>
              <w:t>3</w:t>
            </w:r>
            <w:r>
              <w:rPr>
                <w:rFonts w:hint="eastAsia" w:ascii="仿宋_GB2312" w:hAnsi="仿宋_GB2312" w:eastAsia="仿宋_GB2312" w:cs="仿宋_GB2312"/>
                <w:color w:val="auto"/>
                <w:sz w:val="21"/>
                <w:szCs w:val="21"/>
                <w:highlight w:val="none"/>
              </w:rPr>
              <w:t>分）；</w:t>
            </w:r>
          </w:p>
          <w:p w14:paraId="00F32A50">
            <w:pPr>
              <w:pStyle w:val="21"/>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4、数据追溯管理：数据一旦出现问题，可以对数据移交接收各个节点的数据情况进行追溯、对数据追溯管理的全面性、实用性进行综合评议（0-</w:t>
            </w:r>
            <w:r>
              <w:rPr>
                <w:rFonts w:hint="eastAsia" w:ascii="仿宋_GB2312" w:hAnsi="仿宋_GB2312" w:eastAsia="仿宋_GB2312" w:cs="仿宋_GB2312"/>
                <w:color w:val="auto"/>
                <w:sz w:val="21"/>
                <w:szCs w:val="21"/>
                <w:highlight w:val="none"/>
                <w:lang w:val="en-US" w:eastAsia="zh-CN"/>
              </w:rPr>
              <w:t>3</w:t>
            </w:r>
            <w:r>
              <w:rPr>
                <w:rFonts w:hint="eastAsia" w:ascii="仿宋_GB2312" w:hAnsi="仿宋_GB2312" w:eastAsia="仿宋_GB2312" w:cs="仿宋_GB2312"/>
                <w:color w:val="auto"/>
                <w:sz w:val="21"/>
                <w:szCs w:val="21"/>
                <w:highlight w:val="none"/>
              </w:rPr>
              <w:t>分）</w:t>
            </w:r>
            <w:r>
              <w:rPr>
                <w:rFonts w:hint="eastAsia" w:ascii="仿宋_GB2312" w:hAnsi="仿宋_GB2312" w:eastAsia="仿宋_GB2312" w:cs="仿宋_GB2312"/>
                <w:color w:val="auto"/>
                <w:sz w:val="21"/>
                <w:szCs w:val="21"/>
                <w:highlight w:val="none"/>
                <w:lang w:eastAsia="zh-CN"/>
              </w:rPr>
              <w:t>；</w:t>
            </w:r>
          </w:p>
          <w:p w14:paraId="4EF38D9C">
            <w:pPr>
              <w:pStyle w:val="21"/>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i w:val="0"/>
                <w:iCs w:val="0"/>
                <w:caps w:val="0"/>
                <w:color w:val="auto"/>
                <w:spacing w:val="0"/>
                <w:sz w:val="21"/>
                <w:szCs w:val="21"/>
                <w:highlight w:val="none"/>
                <w:shd w:val="clear" w:color="auto" w:fill="FFFFFF"/>
                <w:lang w:val="en-US" w:eastAsia="zh-CN"/>
              </w:rPr>
            </w:pPr>
            <w:r>
              <w:rPr>
                <w:rFonts w:hint="eastAsia" w:ascii="仿宋_GB2312" w:hAnsi="仿宋_GB2312" w:eastAsia="仿宋_GB2312" w:cs="仿宋_GB2312"/>
                <w:color w:val="auto"/>
                <w:sz w:val="21"/>
                <w:szCs w:val="21"/>
                <w:highlight w:val="none"/>
              </w:rPr>
              <w:t>供应商自行录制演示视频（时长不超过</w:t>
            </w:r>
            <w:r>
              <w:rPr>
                <w:rFonts w:hint="eastAsia" w:ascii="仿宋_GB2312" w:hAnsi="仿宋_GB2312" w:eastAsia="仿宋_GB2312" w:cs="仿宋_GB2312"/>
                <w:color w:val="auto"/>
                <w:sz w:val="21"/>
                <w:szCs w:val="21"/>
                <w:highlight w:val="none"/>
                <w:lang w:val="en-US" w:eastAsia="zh-CN"/>
              </w:rPr>
              <w:t>10</w:t>
            </w:r>
            <w:r>
              <w:rPr>
                <w:rFonts w:hint="eastAsia" w:ascii="仿宋_GB2312" w:hAnsi="仿宋_GB2312" w:eastAsia="仿宋_GB2312" w:cs="仿宋_GB2312"/>
                <w:color w:val="auto"/>
                <w:sz w:val="21"/>
                <w:szCs w:val="21"/>
                <w:highlight w:val="none"/>
              </w:rPr>
              <w:t>分钟），将视频拷入U盘并单独进行密封加盖</w:t>
            </w:r>
            <w:r>
              <w:rPr>
                <w:rFonts w:hint="eastAsia" w:ascii="仿宋_GB2312" w:hAnsi="仿宋_GB2312" w:eastAsia="仿宋_GB2312" w:cs="仿宋_GB2312"/>
                <w:color w:val="auto"/>
                <w:sz w:val="21"/>
                <w:szCs w:val="21"/>
                <w:highlight w:val="none"/>
                <w:lang w:eastAsia="zh-CN"/>
              </w:rPr>
              <w:t>投标人</w:t>
            </w:r>
            <w:r>
              <w:rPr>
                <w:rFonts w:hint="eastAsia" w:ascii="仿宋_GB2312" w:hAnsi="仿宋_GB2312" w:eastAsia="仿宋_GB2312" w:cs="仿宋_GB2312"/>
                <w:color w:val="auto"/>
                <w:sz w:val="21"/>
                <w:szCs w:val="21"/>
                <w:highlight w:val="none"/>
              </w:rPr>
              <w:t>公章</w:t>
            </w:r>
            <w:r>
              <w:rPr>
                <w:rFonts w:hint="eastAsia" w:ascii="仿宋_GB2312" w:hAnsi="仿宋_GB2312" w:eastAsia="仿宋_GB2312" w:cs="仿宋_GB2312"/>
                <w:color w:val="auto"/>
                <w:sz w:val="21"/>
                <w:szCs w:val="21"/>
                <w:highlight w:val="none"/>
                <w:lang w:eastAsia="zh-CN"/>
              </w:rPr>
              <w:t>。</w:t>
            </w:r>
          </w:p>
        </w:tc>
        <w:tc>
          <w:tcPr>
            <w:tcW w:w="990" w:type="dxa"/>
            <w:tcBorders>
              <w:top w:val="single" w:color="auto" w:sz="4" w:space="0"/>
              <w:left w:val="nil"/>
              <w:bottom w:val="single" w:color="auto" w:sz="4" w:space="0"/>
              <w:right w:val="single" w:color="auto" w:sz="4" w:space="0"/>
            </w:tcBorders>
            <w:noWrap w:val="0"/>
            <w:vAlign w:val="center"/>
          </w:tcPr>
          <w:p w14:paraId="158F31B3">
            <w:pPr>
              <w:keepNext w:val="0"/>
              <w:keepLines w:val="0"/>
              <w:pageBreakBefore w:val="0"/>
              <w:kinsoku/>
              <w:wordWrap/>
              <w:overflowPunct/>
              <w:topLinePunct w:val="0"/>
              <w:bidi w:val="0"/>
              <w:adjustRightInd/>
              <w:snapToGrid w:val="0"/>
              <w:spacing w:line="460" w:lineRule="exact"/>
              <w:ind w:left="0" w:leftChars="0" w:right="0" w:right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eastAsia="仿宋_GB2312" w:cs="仿宋_GB2312"/>
                <w:color w:val="auto"/>
                <w:sz w:val="21"/>
                <w:szCs w:val="21"/>
                <w:highlight w:val="none"/>
              </w:rPr>
              <w:t>分</w:t>
            </w:r>
          </w:p>
        </w:tc>
      </w:tr>
      <w:tr w14:paraId="30C56853">
        <w:tblPrEx>
          <w:tblCellMar>
            <w:top w:w="0" w:type="dxa"/>
            <w:left w:w="108" w:type="dxa"/>
            <w:bottom w:w="0" w:type="dxa"/>
            <w:right w:w="108" w:type="dxa"/>
          </w:tblCellMar>
        </w:tblPrEx>
        <w:trPr>
          <w:trHeight w:val="1499" w:hRule="atLeast"/>
        </w:trPr>
        <w:tc>
          <w:tcPr>
            <w:tcW w:w="765" w:type="dxa"/>
            <w:tcBorders>
              <w:top w:val="single" w:color="auto" w:sz="4" w:space="0"/>
              <w:left w:val="single" w:color="auto" w:sz="4" w:space="0"/>
              <w:bottom w:val="single" w:color="auto" w:sz="4" w:space="0"/>
              <w:right w:val="single" w:color="auto" w:sz="4" w:space="0"/>
            </w:tcBorders>
            <w:noWrap w:val="0"/>
            <w:vAlign w:val="center"/>
          </w:tcPr>
          <w:p w14:paraId="67F35355">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w:t>
            </w:r>
          </w:p>
        </w:tc>
        <w:tc>
          <w:tcPr>
            <w:tcW w:w="1560" w:type="dxa"/>
            <w:tcBorders>
              <w:top w:val="single" w:color="auto" w:sz="4" w:space="0"/>
              <w:left w:val="nil"/>
              <w:bottom w:val="single" w:color="auto" w:sz="4" w:space="0"/>
              <w:right w:val="single" w:color="auto" w:sz="4" w:space="0"/>
            </w:tcBorders>
            <w:noWrap w:val="0"/>
            <w:vAlign w:val="center"/>
          </w:tcPr>
          <w:p w14:paraId="0DF097E5">
            <w:pPr>
              <w:keepNext w:val="0"/>
              <w:keepLines w:val="0"/>
              <w:pageBreakBefore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项目实施安全与保密控</w:t>
            </w:r>
            <w:r>
              <w:rPr>
                <w:rFonts w:hint="eastAsia" w:ascii="仿宋_GB2312" w:hAnsi="仿宋_GB2312" w:eastAsia="仿宋_GB2312" w:cs="仿宋_GB2312"/>
                <w:color w:val="auto"/>
                <w:sz w:val="21"/>
                <w:szCs w:val="21"/>
                <w:highlight w:val="none"/>
                <w:lang w:eastAsia="zh-CN"/>
              </w:rPr>
              <w:t>制</w:t>
            </w:r>
          </w:p>
          <w:p w14:paraId="3AFC2EB8">
            <w:pPr>
              <w:keepNext w:val="0"/>
              <w:keepLines w:val="0"/>
              <w:pageBreakBefore w:val="0"/>
              <w:kinsoku/>
              <w:wordWrap/>
              <w:overflowPunct/>
              <w:topLinePunct w:val="0"/>
              <w:autoSpaceDE/>
              <w:autoSpaceDN/>
              <w:bidi w:val="0"/>
              <w:adjustRightInd/>
              <w:snapToGrid/>
              <w:spacing w:line="360" w:lineRule="exact"/>
              <w:ind w:left="0" w:leftChars="0" w:right="0" w:rightChars="0"/>
              <w:jc w:val="center"/>
              <w:textAlignment w:val="auto"/>
              <w:rPr>
                <w:rFonts w:hint="default"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4分）</w:t>
            </w:r>
          </w:p>
        </w:tc>
        <w:tc>
          <w:tcPr>
            <w:tcW w:w="5415" w:type="dxa"/>
            <w:tcBorders>
              <w:top w:val="single" w:color="auto" w:sz="4" w:space="0"/>
              <w:left w:val="nil"/>
              <w:bottom w:val="single" w:color="auto" w:sz="4" w:space="0"/>
              <w:right w:val="single" w:color="auto" w:sz="4" w:space="0"/>
            </w:tcBorders>
            <w:noWrap w:val="0"/>
            <w:vAlign w:val="top"/>
          </w:tcPr>
          <w:p w14:paraId="21623490">
            <w:pPr>
              <w:pStyle w:val="21"/>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投标人提供完善的项目安全与保密控制方案（包括</w:t>
            </w:r>
            <w:r>
              <w:rPr>
                <w:rFonts w:hint="eastAsia" w:ascii="仿宋_GB2312" w:hAnsi="仿宋_GB2312" w:eastAsia="仿宋_GB2312" w:cs="仿宋_GB2312"/>
                <w:color w:val="auto"/>
                <w:sz w:val="21"/>
                <w:szCs w:val="21"/>
                <w:highlight w:val="none"/>
                <w:lang w:eastAsia="zh-CN"/>
              </w:rPr>
              <w:t>但不限于</w:t>
            </w:r>
            <w:r>
              <w:rPr>
                <w:rFonts w:hint="eastAsia" w:ascii="仿宋_GB2312" w:hAnsi="仿宋_GB2312" w:eastAsia="仿宋_GB2312" w:cs="仿宋_GB2312"/>
                <w:color w:val="auto"/>
                <w:sz w:val="21"/>
                <w:szCs w:val="21"/>
                <w:highlight w:val="none"/>
              </w:rPr>
              <w:t>人员的安全管理、工作日志管理、档案安全管理、设备及数据安全管理等，根据方案的全面性、可行性、</w:t>
            </w:r>
            <w:r>
              <w:rPr>
                <w:rFonts w:hint="eastAsia" w:ascii="仿宋_GB2312" w:hAnsi="仿宋_GB2312" w:eastAsia="仿宋_GB2312" w:cs="仿宋_GB2312"/>
                <w:color w:val="auto"/>
                <w:sz w:val="21"/>
                <w:szCs w:val="21"/>
                <w:highlight w:val="none"/>
                <w:lang w:eastAsia="zh-CN"/>
              </w:rPr>
              <w:t>恰当</w:t>
            </w:r>
            <w:r>
              <w:rPr>
                <w:rFonts w:hint="eastAsia" w:ascii="仿宋_GB2312" w:hAnsi="仿宋_GB2312" w:eastAsia="仿宋_GB2312" w:cs="仿宋_GB2312"/>
                <w:color w:val="auto"/>
                <w:sz w:val="21"/>
                <w:szCs w:val="21"/>
                <w:highlight w:val="none"/>
              </w:rPr>
              <w:t>性进行综合打分。</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0-4</w:t>
            </w:r>
            <w:r>
              <w:rPr>
                <w:rFonts w:hint="eastAsia" w:ascii="仿宋_GB2312" w:hAnsi="仿宋_GB2312" w:eastAsia="仿宋_GB2312" w:cs="仿宋_GB2312"/>
                <w:color w:val="auto"/>
                <w:sz w:val="21"/>
                <w:szCs w:val="21"/>
                <w:highlight w:val="none"/>
              </w:rPr>
              <w:t>分</w:t>
            </w:r>
            <w:r>
              <w:rPr>
                <w:rFonts w:hint="eastAsia" w:ascii="仿宋_GB2312" w:hAnsi="仿宋_GB2312" w:eastAsia="仿宋_GB2312" w:cs="仿宋_GB2312"/>
                <w:color w:val="auto"/>
                <w:sz w:val="21"/>
                <w:szCs w:val="21"/>
                <w:highlight w:val="none"/>
                <w:lang w:eastAsia="zh-CN"/>
              </w:rPr>
              <w:t>）</w:t>
            </w:r>
          </w:p>
        </w:tc>
        <w:tc>
          <w:tcPr>
            <w:tcW w:w="990" w:type="dxa"/>
            <w:tcBorders>
              <w:top w:val="single" w:color="auto" w:sz="4" w:space="0"/>
              <w:left w:val="nil"/>
              <w:bottom w:val="single" w:color="auto" w:sz="4" w:space="0"/>
              <w:right w:val="single" w:color="auto" w:sz="4" w:space="0"/>
            </w:tcBorders>
            <w:noWrap w:val="0"/>
            <w:vAlign w:val="center"/>
          </w:tcPr>
          <w:p w14:paraId="6252CBD6">
            <w:pPr>
              <w:keepNext w:val="0"/>
              <w:keepLines w:val="0"/>
              <w:pageBreakBefore w:val="0"/>
              <w:widowControl/>
              <w:kinsoku/>
              <w:wordWrap/>
              <w:overflowPunct/>
              <w:topLinePunct w:val="0"/>
              <w:bidi w:val="0"/>
              <w:adjustRightInd/>
              <w:snapToGrid w:val="0"/>
              <w:spacing w:line="460" w:lineRule="exact"/>
              <w:ind w:left="0" w:leftChars="0" w:right="0" w:right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rPr>
              <w:t>分</w:t>
            </w:r>
          </w:p>
        </w:tc>
      </w:tr>
      <w:tr w14:paraId="121F54E9">
        <w:tblPrEx>
          <w:tblCellMar>
            <w:top w:w="0" w:type="dxa"/>
            <w:left w:w="108" w:type="dxa"/>
            <w:bottom w:w="0" w:type="dxa"/>
            <w:right w:w="108" w:type="dxa"/>
          </w:tblCellMar>
        </w:tblPrEx>
        <w:trPr>
          <w:trHeight w:val="1841" w:hRule="atLeast"/>
        </w:trPr>
        <w:tc>
          <w:tcPr>
            <w:tcW w:w="765" w:type="dxa"/>
            <w:tcBorders>
              <w:top w:val="single" w:color="auto" w:sz="4" w:space="0"/>
              <w:left w:val="single" w:color="auto" w:sz="4" w:space="0"/>
              <w:bottom w:val="single" w:color="auto" w:sz="4" w:space="0"/>
              <w:right w:val="single" w:color="auto" w:sz="4" w:space="0"/>
            </w:tcBorders>
            <w:noWrap w:val="0"/>
            <w:vAlign w:val="center"/>
          </w:tcPr>
          <w:p w14:paraId="4D75F778">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6</w:t>
            </w:r>
          </w:p>
        </w:tc>
        <w:tc>
          <w:tcPr>
            <w:tcW w:w="1560" w:type="dxa"/>
            <w:tcBorders>
              <w:top w:val="single" w:color="auto" w:sz="4" w:space="0"/>
              <w:left w:val="nil"/>
              <w:bottom w:val="single" w:color="auto" w:sz="4" w:space="0"/>
              <w:right w:val="single" w:color="auto" w:sz="4" w:space="0"/>
            </w:tcBorders>
            <w:noWrap w:val="0"/>
            <w:vAlign w:val="center"/>
          </w:tcPr>
          <w:p w14:paraId="6B87F78E">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售后服务</w:t>
            </w:r>
          </w:p>
          <w:p w14:paraId="69279308">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6分）</w:t>
            </w:r>
          </w:p>
        </w:tc>
        <w:tc>
          <w:tcPr>
            <w:tcW w:w="5415" w:type="dxa"/>
            <w:tcBorders>
              <w:top w:val="single" w:color="auto" w:sz="4" w:space="0"/>
              <w:left w:val="nil"/>
              <w:bottom w:val="single" w:color="auto" w:sz="4" w:space="0"/>
              <w:right w:val="single" w:color="auto" w:sz="4" w:space="0"/>
            </w:tcBorders>
            <w:noWrap w:val="0"/>
            <w:vAlign w:val="top"/>
          </w:tcPr>
          <w:p w14:paraId="06F02C22">
            <w:pPr>
              <w:keepNext w:val="0"/>
              <w:keepLines w:val="0"/>
              <w:pageBreakBefore w:val="0"/>
              <w:kinsoku/>
              <w:wordWrap/>
              <w:overflowPunct/>
              <w:topLinePunct w:val="0"/>
              <w:autoSpaceDE/>
              <w:autoSpaceDN/>
              <w:bidi w:val="0"/>
              <w:adjustRightInd/>
              <w:snapToGrid/>
              <w:spacing w:line="360" w:lineRule="exact"/>
              <w:ind w:left="0" w:leftChars="0" w:right="0" w:rightChars="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r>
              <w:rPr>
                <w:rFonts w:hint="eastAsia" w:ascii="仿宋_GB2312" w:hAnsi="仿宋_GB2312" w:eastAsia="仿宋_GB2312" w:cs="仿宋_GB2312"/>
                <w:color w:val="auto"/>
                <w:sz w:val="21"/>
                <w:szCs w:val="21"/>
                <w:highlight w:val="none"/>
                <w:lang w:eastAsia="zh-CN"/>
              </w:rPr>
              <w:t>满足招标文件的基础上</w:t>
            </w:r>
            <w:r>
              <w:rPr>
                <w:rFonts w:hint="eastAsia" w:ascii="仿宋_GB2312" w:hAnsi="仿宋_GB2312" w:eastAsia="仿宋_GB2312" w:cs="仿宋_GB2312"/>
                <w:color w:val="auto"/>
                <w:sz w:val="21"/>
                <w:szCs w:val="21"/>
                <w:highlight w:val="none"/>
              </w:rPr>
              <w:t>售后服务承诺质保年限达到2年的得</w:t>
            </w:r>
            <w:r>
              <w:rPr>
                <w:rFonts w:hint="eastAsia" w:ascii="仿宋_GB2312" w:hAnsi="仿宋_GB2312" w:eastAsia="仿宋_GB2312" w:cs="仿宋_GB2312"/>
                <w:color w:val="auto"/>
                <w:sz w:val="21"/>
                <w:szCs w:val="21"/>
                <w:highlight w:val="none"/>
                <w:lang w:val="en-US" w:eastAsia="zh-CN"/>
              </w:rPr>
              <w:t>2</w:t>
            </w:r>
            <w:r>
              <w:rPr>
                <w:rFonts w:hint="eastAsia" w:ascii="仿宋_GB2312" w:hAnsi="仿宋_GB2312" w:eastAsia="仿宋_GB2312" w:cs="仿宋_GB2312"/>
                <w:color w:val="auto"/>
                <w:sz w:val="21"/>
                <w:szCs w:val="21"/>
                <w:highlight w:val="none"/>
              </w:rPr>
              <w:t>分，承诺质保期限达到</w:t>
            </w:r>
            <w:r>
              <w:rPr>
                <w:rFonts w:hint="eastAsia" w:ascii="仿宋_GB2312" w:hAnsi="仿宋_GB2312" w:eastAsia="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rPr>
              <w:t>年及以上的得</w:t>
            </w:r>
            <w:r>
              <w:rPr>
                <w:rFonts w:hint="eastAsia" w:ascii="仿宋_GB2312" w:hAnsi="仿宋_GB2312" w:eastAsia="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rPr>
              <w:t>分。</w:t>
            </w:r>
          </w:p>
          <w:p w14:paraId="52B235F0">
            <w:pPr>
              <w:keepNext w:val="0"/>
              <w:keepLines w:val="0"/>
              <w:pageBreakBefore w:val="0"/>
              <w:kinsoku/>
              <w:wordWrap/>
              <w:overflowPunct/>
              <w:topLinePunct w:val="0"/>
              <w:autoSpaceDE/>
              <w:autoSpaceDN/>
              <w:bidi w:val="0"/>
              <w:adjustRightInd/>
              <w:snapToGrid/>
              <w:spacing w:line="360" w:lineRule="exact"/>
              <w:ind w:left="0" w:leftChars="0" w:right="0" w:rightChars="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2、服务措施完善可行，根据投标人对本项目服务响应时间（要求承诺5小时内现场响应）、售后服务内,等承诺的合理性、可行性进行综合打分。</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0-2</w:t>
            </w:r>
            <w:r>
              <w:rPr>
                <w:rFonts w:hint="eastAsia" w:ascii="仿宋_GB2312" w:hAnsi="仿宋_GB2312" w:eastAsia="仿宋_GB2312" w:cs="仿宋_GB2312"/>
                <w:color w:val="auto"/>
                <w:sz w:val="21"/>
                <w:szCs w:val="21"/>
                <w:highlight w:val="none"/>
              </w:rPr>
              <w:t>分</w:t>
            </w:r>
            <w:r>
              <w:rPr>
                <w:rFonts w:hint="eastAsia" w:ascii="仿宋_GB2312" w:hAnsi="仿宋_GB2312" w:eastAsia="仿宋_GB2312" w:cs="仿宋_GB2312"/>
                <w:color w:val="auto"/>
                <w:sz w:val="21"/>
                <w:szCs w:val="21"/>
                <w:highlight w:val="none"/>
                <w:lang w:eastAsia="zh-CN"/>
              </w:rPr>
              <w:t>）</w:t>
            </w:r>
          </w:p>
        </w:tc>
        <w:tc>
          <w:tcPr>
            <w:tcW w:w="990" w:type="dxa"/>
            <w:tcBorders>
              <w:top w:val="single" w:color="auto" w:sz="4" w:space="0"/>
              <w:left w:val="nil"/>
              <w:bottom w:val="single" w:color="auto" w:sz="4" w:space="0"/>
              <w:right w:val="single" w:color="auto" w:sz="4" w:space="0"/>
            </w:tcBorders>
            <w:noWrap w:val="0"/>
            <w:vAlign w:val="center"/>
          </w:tcPr>
          <w:p w14:paraId="2D2AE8D5">
            <w:pPr>
              <w:keepNext w:val="0"/>
              <w:keepLines w:val="0"/>
              <w:pageBreakBefore w:val="0"/>
              <w:widowControl/>
              <w:kinsoku/>
              <w:wordWrap/>
              <w:overflowPunct/>
              <w:topLinePunct w:val="0"/>
              <w:bidi w:val="0"/>
              <w:adjustRightInd/>
              <w:snapToGrid w:val="0"/>
              <w:spacing w:line="460" w:lineRule="exact"/>
              <w:ind w:left="0" w:leftChars="0" w:right="0" w:right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6</w:t>
            </w:r>
            <w:r>
              <w:rPr>
                <w:rFonts w:hint="eastAsia" w:ascii="仿宋_GB2312" w:hAnsi="仿宋_GB2312" w:eastAsia="仿宋_GB2312" w:cs="仿宋_GB2312"/>
                <w:color w:val="auto"/>
                <w:sz w:val="21"/>
                <w:szCs w:val="21"/>
                <w:highlight w:val="none"/>
              </w:rPr>
              <w:t>分</w:t>
            </w:r>
          </w:p>
        </w:tc>
      </w:tr>
      <w:tr w14:paraId="5F6EE36A">
        <w:tblPrEx>
          <w:tblCellMar>
            <w:top w:w="0" w:type="dxa"/>
            <w:left w:w="108" w:type="dxa"/>
            <w:bottom w:w="0" w:type="dxa"/>
            <w:right w:w="108" w:type="dxa"/>
          </w:tblCellMar>
        </w:tblPrEx>
        <w:trPr>
          <w:trHeight w:val="1176" w:hRule="atLeast"/>
        </w:trPr>
        <w:tc>
          <w:tcPr>
            <w:tcW w:w="765" w:type="dxa"/>
            <w:tcBorders>
              <w:top w:val="single" w:color="auto" w:sz="4" w:space="0"/>
              <w:left w:val="single" w:color="auto" w:sz="4" w:space="0"/>
              <w:bottom w:val="single" w:color="auto" w:sz="4" w:space="0"/>
              <w:right w:val="single" w:color="auto" w:sz="4" w:space="0"/>
            </w:tcBorders>
            <w:noWrap w:val="0"/>
            <w:vAlign w:val="center"/>
          </w:tcPr>
          <w:p w14:paraId="6E03A232">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7</w:t>
            </w:r>
          </w:p>
        </w:tc>
        <w:tc>
          <w:tcPr>
            <w:tcW w:w="1560" w:type="dxa"/>
            <w:tcBorders>
              <w:top w:val="single" w:color="auto" w:sz="4" w:space="0"/>
              <w:left w:val="nil"/>
              <w:bottom w:val="single" w:color="auto" w:sz="4" w:space="0"/>
              <w:right w:val="single" w:color="auto" w:sz="4" w:space="0"/>
            </w:tcBorders>
            <w:noWrap w:val="0"/>
            <w:vAlign w:val="center"/>
          </w:tcPr>
          <w:p w14:paraId="7C5F58B2">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合理化建议</w:t>
            </w:r>
          </w:p>
          <w:p w14:paraId="48F42110">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（4分）</w:t>
            </w:r>
          </w:p>
        </w:tc>
        <w:tc>
          <w:tcPr>
            <w:tcW w:w="5415" w:type="dxa"/>
            <w:tcBorders>
              <w:top w:val="single" w:color="auto" w:sz="4" w:space="0"/>
              <w:left w:val="nil"/>
              <w:bottom w:val="single" w:color="auto" w:sz="4" w:space="0"/>
              <w:right w:val="single" w:color="auto" w:sz="4" w:space="0"/>
            </w:tcBorders>
            <w:noWrap w:val="0"/>
            <w:vAlign w:val="center"/>
          </w:tcPr>
          <w:p w14:paraId="3F7EC7F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投标人根据本项目情况提出合理化、优化建议，根据建议的合理性、全面性由评审专家进行综合打分。（0-4分）</w:t>
            </w:r>
          </w:p>
        </w:tc>
        <w:tc>
          <w:tcPr>
            <w:tcW w:w="990" w:type="dxa"/>
            <w:tcBorders>
              <w:top w:val="single" w:color="auto" w:sz="4" w:space="0"/>
              <w:left w:val="nil"/>
              <w:bottom w:val="single" w:color="auto" w:sz="4" w:space="0"/>
              <w:right w:val="single" w:color="auto" w:sz="4" w:space="0"/>
            </w:tcBorders>
            <w:noWrap w:val="0"/>
            <w:vAlign w:val="center"/>
          </w:tcPr>
          <w:p w14:paraId="34C78261">
            <w:pPr>
              <w:keepNext w:val="0"/>
              <w:keepLines w:val="0"/>
              <w:pageBreakBefore w:val="0"/>
              <w:widowControl w:val="0"/>
              <w:kinsoku/>
              <w:wordWrap/>
              <w:overflowPunct/>
              <w:topLinePunct w:val="0"/>
              <w:bidi w:val="0"/>
              <w:adjustRightInd/>
              <w:snapToGrid/>
              <w:spacing w:line="460" w:lineRule="exact"/>
              <w:ind w:left="0" w:leftChars="0" w:right="0" w:rightChars="0"/>
              <w:jc w:val="center"/>
              <w:textAlignment w:val="auto"/>
              <w:rPr>
                <w:rFonts w:hint="eastAsia" w:ascii="仿宋_GB2312" w:hAnsi="仿宋_GB2312" w:eastAsia="仿宋_GB2312" w:cs="仿宋_GB2312"/>
                <w:bCs/>
                <w:color w:val="auto"/>
                <w:kern w:val="2"/>
                <w:sz w:val="21"/>
                <w:szCs w:val="21"/>
                <w:highlight w:val="none"/>
                <w:lang w:val="en-US" w:eastAsia="zh-CN" w:bidi="ar-SA"/>
              </w:rPr>
            </w:pPr>
            <w:r>
              <w:rPr>
                <w:rFonts w:hint="eastAsia" w:ascii="仿宋_GB2312" w:hAnsi="仿宋_GB2312" w:eastAsia="仿宋_GB2312" w:cs="仿宋_GB2312"/>
                <w:bCs/>
                <w:color w:val="auto"/>
                <w:sz w:val="21"/>
                <w:szCs w:val="21"/>
                <w:highlight w:val="none"/>
                <w:lang w:val="en-US" w:eastAsia="zh-CN"/>
              </w:rPr>
              <w:t>4分</w:t>
            </w:r>
          </w:p>
        </w:tc>
      </w:tr>
      <w:tr w14:paraId="12400470">
        <w:tblPrEx>
          <w:tblCellMar>
            <w:top w:w="0" w:type="dxa"/>
            <w:left w:w="108" w:type="dxa"/>
            <w:bottom w:w="0" w:type="dxa"/>
            <w:right w:w="108" w:type="dxa"/>
          </w:tblCellMar>
        </w:tblPrEx>
        <w:trPr>
          <w:trHeight w:val="1176" w:hRule="atLeast"/>
        </w:trPr>
        <w:tc>
          <w:tcPr>
            <w:tcW w:w="765" w:type="dxa"/>
            <w:tcBorders>
              <w:top w:val="single" w:color="auto" w:sz="4" w:space="0"/>
              <w:left w:val="single" w:color="auto" w:sz="4" w:space="0"/>
              <w:bottom w:val="single" w:color="auto" w:sz="4" w:space="0"/>
              <w:right w:val="single" w:color="auto" w:sz="4" w:space="0"/>
            </w:tcBorders>
            <w:noWrap w:val="0"/>
            <w:vAlign w:val="center"/>
          </w:tcPr>
          <w:p w14:paraId="2259ABC7">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w:t>
            </w:r>
          </w:p>
        </w:tc>
        <w:tc>
          <w:tcPr>
            <w:tcW w:w="1560" w:type="dxa"/>
            <w:tcBorders>
              <w:top w:val="single" w:color="auto" w:sz="4" w:space="0"/>
              <w:left w:val="nil"/>
              <w:bottom w:val="single" w:color="auto" w:sz="4" w:space="0"/>
              <w:right w:val="single" w:color="auto" w:sz="4" w:space="0"/>
            </w:tcBorders>
            <w:noWrap w:val="0"/>
            <w:vAlign w:val="center"/>
          </w:tcPr>
          <w:p w14:paraId="603067B2">
            <w:pPr>
              <w:pStyle w:val="4"/>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制度考核</w:t>
            </w:r>
          </w:p>
          <w:p w14:paraId="5ABAC0A2">
            <w:pPr>
              <w:pStyle w:val="4"/>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4分）</w:t>
            </w:r>
          </w:p>
        </w:tc>
        <w:tc>
          <w:tcPr>
            <w:tcW w:w="5415" w:type="dxa"/>
            <w:tcBorders>
              <w:top w:val="single" w:color="auto" w:sz="4" w:space="0"/>
              <w:left w:val="nil"/>
              <w:bottom w:val="single" w:color="auto" w:sz="4" w:space="0"/>
              <w:right w:val="single" w:color="auto" w:sz="4" w:space="0"/>
            </w:tcBorders>
            <w:noWrap w:val="0"/>
            <w:vAlign w:val="center"/>
          </w:tcPr>
          <w:p w14:paraId="26F9C713">
            <w:pPr>
              <w:pStyle w:val="4"/>
              <w:keepNext w:val="0"/>
              <w:keepLines w:val="0"/>
              <w:pageBreakBefore w:val="0"/>
              <w:widowControl w:val="0"/>
              <w:kinsoku/>
              <w:wordWrap/>
              <w:overflowPunct/>
              <w:topLinePunct w:val="0"/>
              <w:autoSpaceDE/>
              <w:autoSpaceDN/>
              <w:bidi w:val="0"/>
              <w:adjustRightInd/>
              <w:snapToGrid/>
              <w:spacing w:line="360" w:lineRule="exact"/>
              <w:ind w:left="0" w:leftChars="0" w:right="0" w:rightChars="0"/>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根据投标人提供的人员岗位责任制度、人员结构配备、信息化管理、考核制度及标准等建立与管理，由评审专家进行综合打分。（0-4分）</w:t>
            </w:r>
          </w:p>
        </w:tc>
        <w:tc>
          <w:tcPr>
            <w:tcW w:w="990" w:type="dxa"/>
            <w:tcBorders>
              <w:top w:val="single" w:color="auto" w:sz="4" w:space="0"/>
              <w:left w:val="nil"/>
              <w:bottom w:val="single" w:color="auto" w:sz="4" w:space="0"/>
              <w:right w:val="single" w:color="auto" w:sz="4" w:space="0"/>
            </w:tcBorders>
            <w:noWrap w:val="0"/>
            <w:vAlign w:val="center"/>
          </w:tcPr>
          <w:p w14:paraId="28E53949">
            <w:pPr>
              <w:keepNext w:val="0"/>
              <w:keepLines w:val="0"/>
              <w:pageBreakBefore w:val="0"/>
              <w:widowControl w:val="0"/>
              <w:kinsoku/>
              <w:wordWrap/>
              <w:overflowPunct/>
              <w:topLinePunct w:val="0"/>
              <w:bidi w:val="0"/>
              <w:adjustRightInd/>
              <w:snapToGrid/>
              <w:spacing w:line="460" w:lineRule="exact"/>
              <w:ind w:left="0" w:leftChars="0" w:right="0" w:rightChars="0"/>
              <w:jc w:val="center"/>
              <w:textAlignment w:val="auto"/>
              <w:rPr>
                <w:rFonts w:hint="eastAsia" w:ascii="仿宋_GB2312" w:hAnsi="仿宋_GB2312" w:eastAsia="仿宋_GB2312" w:cs="仿宋_GB2312"/>
                <w:bCs/>
                <w:color w:val="auto"/>
                <w:kern w:val="2"/>
                <w:sz w:val="21"/>
                <w:szCs w:val="21"/>
                <w:highlight w:val="none"/>
                <w:lang w:val="en-US" w:eastAsia="zh-CN" w:bidi="ar-SA"/>
              </w:rPr>
            </w:pPr>
            <w:r>
              <w:rPr>
                <w:rFonts w:hint="eastAsia" w:ascii="仿宋_GB2312" w:hAnsi="仿宋_GB2312" w:eastAsia="仿宋_GB2312" w:cs="仿宋_GB2312"/>
                <w:bCs/>
                <w:color w:val="auto"/>
                <w:sz w:val="21"/>
                <w:szCs w:val="21"/>
                <w:highlight w:val="none"/>
                <w:lang w:val="en-US" w:eastAsia="zh-CN"/>
              </w:rPr>
              <w:t>4分</w:t>
            </w:r>
          </w:p>
        </w:tc>
      </w:tr>
      <w:tr w14:paraId="07E9BF99">
        <w:tblPrEx>
          <w:tblCellMar>
            <w:top w:w="0" w:type="dxa"/>
            <w:left w:w="108" w:type="dxa"/>
            <w:bottom w:w="0" w:type="dxa"/>
            <w:right w:w="108" w:type="dxa"/>
          </w:tblCellMar>
        </w:tblPrEx>
        <w:trPr>
          <w:trHeight w:val="822" w:hRule="atLeast"/>
        </w:trPr>
        <w:tc>
          <w:tcPr>
            <w:tcW w:w="765" w:type="dxa"/>
            <w:tcBorders>
              <w:top w:val="single" w:color="auto" w:sz="4" w:space="0"/>
              <w:left w:val="single" w:color="auto" w:sz="4" w:space="0"/>
              <w:bottom w:val="single" w:color="auto" w:sz="4" w:space="0"/>
              <w:right w:val="single" w:color="auto" w:sz="4" w:space="0"/>
            </w:tcBorders>
            <w:noWrap w:val="0"/>
            <w:vAlign w:val="center"/>
          </w:tcPr>
          <w:p w14:paraId="0C6AFBBB">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9</w:t>
            </w:r>
          </w:p>
        </w:tc>
        <w:tc>
          <w:tcPr>
            <w:tcW w:w="1560" w:type="dxa"/>
            <w:tcBorders>
              <w:top w:val="single" w:color="auto" w:sz="4" w:space="0"/>
              <w:left w:val="nil"/>
              <w:bottom w:val="single" w:color="auto" w:sz="4" w:space="0"/>
              <w:right w:val="single" w:color="auto" w:sz="4" w:space="0"/>
            </w:tcBorders>
            <w:noWrap w:val="0"/>
            <w:vAlign w:val="center"/>
          </w:tcPr>
          <w:p w14:paraId="617E14E7">
            <w:pPr>
              <w:keepNext w:val="0"/>
              <w:keepLines w:val="0"/>
              <w:pageBreakBefore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应急方案</w:t>
            </w:r>
          </w:p>
          <w:p w14:paraId="639371C4">
            <w:pPr>
              <w:keepNext w:val="0"/>
              <w:keepLines w:val="0"/>
              <w:pageBreakBefore w:val="0"/>
              <w:kinsoku/>
              <w:wordWrap/>
              <w:overflowPunct/>
              <w:topLinePunct w:val="0"/>
              <w:autoSpaceDE/>
              <w:autoSpaceDN/>
              <w:bidi w:val="0"/>
              <w:adjustRightInd/>
              <w:snapToGrid/>
              <w:spacing w:line="360" w:lineRule="exact"/>
              <w:ind w:left="0" w:leftChars="0" w:right="0" w:rightChars="0"/>
              <w:jc w:val="center"/>
              <w:textAlignment w:val="auto"/>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4分）</w:t>
            </w:r>
          </w:p>
        </w:tc>
        <w:tc>
          <w:tcPr>
            <w:tcW w:w="5415" w:type="dxa"/>
            <w:tcBorders>
              <w:top w:val="single" w:color="auto" w:sz="4" w:space="0"/>
              <w:left w:val="nil"/>
              <w:bottom w:val="single" w:color="auto" w:sz="4" w:space="0"/>
              <w:right w:val="single" w:color="auto" w:sz="4" w:space="0"/>
            </w:tcBorders>
            <w:noWrap w:val="0"/>
            <w:vAlign w:val="center"/>
          </w:tcPr>
          <w:p w14:paraId="74158C0B">
            <w:pPr>
              <w:keepNext w:val="0"/>
              <w:keepLines w:val="0"/>
              <w:pageBreakBefore w:val="0"/>
              <w:kinsoku/>
              <w:wordWrap/>
              <w:overflowPunct/>
              <w:topLinePunct w:val="0"/>
              <w:autoSpaceDE/>
              <w:autoSpaceDN/>
              <w:bidi w:val="0"/>
              <w:adjustRightInd/>
              <w:snapToGrid/>
              <w:spacing w:line="360" w:lineRule="exact"/>
              <w:ind w:left="0" w:leftChars="0" w:right="0" w:rightChars="0"/>
              <w:contextualSpacing/>
              <w:jc w:val="left"/>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对日常可能遇到紧急情况的应急方案</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由评审专家进行综合打分。（0-4分）</w:t>
            </w:r>
          </w:p>
        </w:tc>
        <w:tc>
          <w:tcPr>
            <w:tcW w:w="990" w:type="dxa"/>
            <w:tcBorders>
              <w:top w:val="single" w:color="auto" w:sz="4" w:space="0"/>
              <w:left w:val="nil"/>
              <w:bottom w:val="single" w:color="auto" w:sz="4" w:space="0"/>
              <w:right w:val="single" w:color="auto" w:sz="4" w:space="0"/>
            </w:tcBorders>
            <w:noWrap w:val="0"/>
            <w:vAlign w:val="center"/>
          </w:tcPr>
          <w:p w14:paraId="64CD71CB">
            <w:pPr>
              <w:keepNext w:val="0"/>
              <w:keepLines w:val="0"/>
              <w:pageBreakBefore w:val="0"/>
              <w:widowControl w:val="0"/>
              <w:kinsoku/>
              <w:wordWrap/>
              <w:overflowPunct/>
              <w:topLinePunct w:val="0"/>
              <w:bidi w:val="0"/>
              <w:adjustRightInd/>
              <w:snapToGrid/>
              <w:spacing w:line="460" w:lineRule="exact"/>
              <w:ind w:left="0" w:leftChars="0" w:right="0" w:rightChars="0"/>
              <w:jc w:val="center"/>
              <w:textAlignment w:val="auto"/>
              <w:rPr>
                <w:rFonts w:hint="eastAsia" w:ascii="仿宋_GB2312" w:hAnsi="仿宋_GB2312" w:eastAsia="仿宋_GB2312" w:cs="仿宋_GB2312"/>
                <w:bCs/>
                <w:color w:val="auto"/>
                <w:kern w:val="2"/>
                <w:sz w:val="21"/>
                <w:szCs w:val="21"/>
                <w:highlight w:val="none"/>
                <w:lang w:val="en-US" w:eastAsia="zh-CN" w:bidi="ar-SA"/>
              </w:rPr>
            </w:pPr>
            <w:r>
              <w:rPr>
                <w:rFonts w:hint="eastAsia" w:ascii="仿宋_GB2312" w:hAnsi="仿宋_GB2312" w:eastAsia="仿宋_GB2312" w:cs="仿宋_GB2312"/>
                <w:bCs/>
                <w:color w:val="auto"/>
                <w:kern w:val="2"/>
                <w:sz w:val="21"/>
                <w:szCs w:val="21"/>
                <w:highlight w:val="none"/>
                <w:lang w:val="en-US" w:eastAsia="zh-CN" w:bidi="ar-SA"/>
              </w:rPr>
              <w:t>4分</w:t>
            </w:r>
          </w:p>
        </w:tc>
      </w:tr>
      <w:tr w14:paraId="26FF3BE0">
        <w:tblPrEx>
          <w:tblCellMar>
            <w:top w:w="0" w:type="dxa"/>
            <w:left w:w="108" w:type="dxa"/>
            <w:bottom w:w="0" w:type="dxa"/>
            <w:right w:w="108" w:type="dxa"/>
          </w:tblCellMar>
        </w:tblPrEx>
        <w:trPr>
          <w:trHeight w:val="1049" w:hRule="atLeast"/>
        </w:trPr>
        <w:tc>
          <w:tcPr>
            <w:tcW w:w="765" w:type="dxa"/>
            <w:tcBorders>
              <w:top w:val="single" w:color="auto" w:sz="4" w:space="0"/>
              <w:left w:val="single" w:color="auto" w:sz="4" w:space="0"/>
              <w:bottom w:val="single" w:color="auto" w:sz="4" w:space="0"/>
              <w:right w:val="single" w:color="auto" w:sz="4" w:space="0"/>
            </w:tcBorders>
            <w:noWrap w:val="0"/>
            <w:vAlign w:val="center"/>
          </w:tcPr>
          <w:p w14:paraId="132D453A">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10</w:t>
            </w:r>
          </w:p>
        </w:tc>
        <w:tc>
          <w:tcPr>
            <w:tcW w:w="1560" w:type="dxa"/>
            <w:tcBorders>
              <w:top w:val="single" w:color="auto" w:sz="4" w:space="0"/>
              <w:left w:val="nil"/>
              <w:bottom w:val="single" w:color="auto" w:sz="4" w:space="0"/>
              <w:right w:val="single" w:color="auto" w:sz="4" w:space="0"/>
            </w:tcBorders>
            <w:noWrap w:val="0"/>
            <w:vAlign w:val="center"/>
          </w:tcPr>
          <w:p w14:paraId="62DF5F73">
            <w:pPr>
              <w:keepNext w:val="0"/>
              <w:keepLines w:val="0"/>
              <w:pageBreakBefore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质量保障</w:t>
            </w:r>
          </w:p>
          <w:p w14:paraId="599494F2">
            <w:pPr>
              <w:pStyle w:val="4"/>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软件系统</w:t>
            </w:r>
          </w:p>
          <w:p w14:paraId="309B5112">
            <w:pPr>
              <w:pStyle w:val="4"/>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lang w:val="en-US" w:eastAsia="zh-CN"/>
              </w:rPr>
              <w:t>10分）</w:t>
            </w:r>
          </w:p>
        </w:tc>
        <w:tc>
          <w:tcPr>
            <w:tcW w:w="5415" w:type="dxa"/>
            <w:tcBorders>
              <w:top w:val="single" w:color="auto" w:sz="4" w:space="0"/>
              <w:left w:val="nil"/>
              <w:bottom w:val="single" w:color="auto" w:sz="4" w:space="0"/>
              <w:right w:val="single" w:color="auto" w:sz="4" w:space="0"/>
            </w:tcBorders>
            <w:noWrap w:val="0"/>
            <w:vAlign w:val="center"/>
          </w:tcPr>
          <w:p w14:paraId="57015D4F">
            <w:pPr>
              <w:pStyle w:val="4"/>
              <w:keepNext w:val="0"/>
              <w:keepLines w:val="0"/>
              <w:pageBreakBefore w:val="0"/>
              <w:widowControl w:val="0"/>
              <w:kinsoku/>
              <w:wordWrap/>
              <w:overflowPunct/>
              <w:topLinePunct w:val="0"/>
              <w:autoSpaceDE/>
              <w:autoSpaceDN/>
              <w:bidi w:val="0"/>
              <w:adjustRightInd/>
              <w:snapToGrid/>
              <w:spacing w:line="360" w:lineRule="exact"/>
              <w:ind w:left="0" w:leftChars="0" w:right="0" w:rightChars="0"/>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项目组人员配备的合理性，数字化加工管理软件，在技术文件中明确提出质量检查措施、质量控制、差错防范措施及</w:t>
            </w:r>
            <w:r>
              <w:rPr>
                <w:rFonts w:hint="eastAsia" w:ascii="仿宋_GB2312" w:hAnsi="仿宋_GB2312" w:eastAsia="仿宋_GB2312" w:cs="仿宋_GB2312"/>
                <w:color w:val="auto"/>
                <w:sz w:val="21"/>
                <w:szCs w:val="21"/>
                <w:highlight w:val="none"/>
              </w:rPr>
              <w:t>流程跟踪功能</w:t>
            </w:r>
            <w:r>
              <w:rPr>
                <w:rFonts w:hint="eastAsia" w:ascii="仿宋_GB2312" w:hAnsi="仿宋_GB2312" w:eastAsia="仿宋_GB2312" w:cs="仿宋_GB2312"/>
                <w:color w:val="auto"/>
                <w:kern w:val="0"/>
                <w:sz w:val="21"/>
                <w:szCs w:val="21"/>
                <w:highlight w:val="none"/>
              </w:rPr>
              <w:t>。要求投标人具有功能、性能满足要求的电子数据（数字化成果）质量检测系统等软件产品</w:t>
            </w: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kern w:val="0"/>
                <w:sz w:val="21"/>
                <w:szCs w:val="21"/>
                <w:highlight w:val="none"/>
              </w:rPr>
              <w:t>确保对影像数据信息的完整性、准确性和图文挂接的准确率运用软件机制进行自检。</w:t>
            </w:r>
            <w:r>
              <w:rPr>
                <w:rFonts w:hint="eastAsia" w:ascii="仿宋_GB2312" w:hAnsi="仿宋_GB2312" w:eastAsia="仿宋_GB2312" w:cs="仿宋_GB2312"/>
                <w:color w:val="auto"/>
                <w:sz w:val="21"/>
                <w:szCs w:val="21"/>
                <w:highlight w:val="none"/>
                <w:lang w:val="en-US" w:eastAsia="zh-CN"/>
              </w:rPr>
              <w:t>由评审专家进行综合打分。（0-10分）</w:t>
            </w:r>
          </w:p>
        </w:tc>
        <w:tc>
          <w:tcPr>
            <w:tcW w:w="990" w:type="dxa"/>
            <w:tcBorders>
              <w:top w:val="single" w:color="auto" w:sz="4" w:space="0"/>
              <w:left w:val="nil"/>
              <w:bottom w:val="single" w:color="auto" w:sz="4" w:space="0"/>
              <w:right w:val="single" w:color="auto" w:sz="4" w:space="0"/>
            </w:tcBorders>
            <w:noWrap w:val="0"/>
            <w:vAlign w:val="center"/>
          </w:tcPr>
          <w:p w14:paraId="6A48CD5C">
            <w:pPr>
              <w:keepNext w:val="0"/>
              <w:keepLines w:val="0"/>
              <w:pageBreakBefore w:val="0"/>
              <w:widowControl w:val="0"/>
              <w:kinsoku/>
              <w:wordWrap/>
              <w:overflowPunct/>
              <w:topLinePunct w:val="0"/>
              <w:bidi w:val="0"/>
              <w:adjustRightInd/>
              <w:snapToGrid/>
              <w:spacing w:line="460" w:lineRule="exact"/>
              <w:ind w:left="0" w:leftChars="0" w:right="0" w:rightChars="0"/>
              <w:jc w:val="center"/>
              <w:textAlignment w:val="auto"/>
              <w:rPr>
                <w:rFonts w:hint="eastAsia" w:ascii="仿宋_GB2312" w:hAnsi="仿宋_GB2312" w:eastAsia="仿宋_GB2312" w:cs="仿宋_GB2312"/>
                <w:bCs/>
                <w:color w:val="auto"/>
                <w:kern w:val="2"/>
                <w:sz w:val="21"/>
                <w:szCs w:val="21"/>
                <w:highlight w:val="none"/>
                <w:lang w:val="en-US" w:eastAsia="zh-CN" w:bidi="ar-SA"/>
              </w:rPr>
            </w:pPr>
            <w:r>
              <w:rPr>
                <w:rFonts w:hint="eastAsia" w:ascii="仿宋_GB2312" w:hAnsi="仿宋_GB2312" w:eastAsia="仿宋_GB2312" w:cs="仿宋_GB2312"/>
                <w:bCs/>
                <w:color w:val="auto"/>
                <w:kern w:val="2"/>
                <w:sz w:val="21"/>
                <w:szCs w:val="21"/>
                <w:highlight w:val="none"/>
                <w:lang w:val="en-US" w:eastAsia="zh-CN" w:bidi="ar-SA"/>
              </w:rPr>
              <w:t>10分</w:t>
            </w:r>
          </w:p>
        </w:tc>
      </w:tr>
    </w:tbl>
    <w:p w14:paraId="40C8BF6E">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ascii="仿宋_GB2312" w:hAnsi="仿宋_GB2312" w:eastAsia="仿宋_GB2312" w:cs="仿宋_GB2312"/>
          <w:b/>
          <w:bCs/>
          <w:iCs/>
          <w:sz w:val="24"/>
          <w:szCs w:val="24"/>
        </w:rPr>
      </w:pPr>
      <w:r>
        <w:rPr>
          <w:rFonts w:hint="eastAsia" w:ascii="仿宋_GB2312" w:hAnsi="仿宋_GB2312" w:eastAsia="仿宋_GB2312" w:cs="仿宋_GB2312"/>
          <w:b/>
          <w:bCs/>
          <w:iCs/>
          <w:sz w:val="24"/>
          <w:szCs w:val="24"/>
          <w:lang w:val="en-US" w:eastAsia="zh-CN"/>
        </w:rPr>
        <w:t>2.</w:t>
      </w:r>
      <w:r>
        <w:rPr>
          <w:rFonts w:hint="eastAsia" w:ascii="仿宋_GB2312" w:hAnsi="仿宋_GB2312" w:eastAsia="仿宋_GB2312" w:cs="仿宋_GB2312"/>
          <w:b/>
          <w:bCs/>
          <w:iCs/>
          <w:sz w:val="24"/>
          <w:szCs w:val="24"/>
        </w:rPr>
        <w:t>2价格分（</w:t>
      </w:r>
      <w:r>
        <w:rPr>
          <w:rFonts w:hint="eastAsia" w:ascii="仿宋_GB2312" w:hAnsi="仿宋_GB2312" w:eastAsia="仿宋_GB2312" w:cs="仿宋_GB2312"/>
          <w:b/>
          <w:bCs/>
          <w:iCs/>
          <w:sz w:val="24"/>
          <w:szCs w:val="24"/>
          <w:lang w:val="en-US" w:eastAsia="zh-CN"/>
        </w:rPr>
        <w:t>2</w:t>
      </w:r>
      <w:r>
        <w:rPr>
          <w:rFonts w:hint="eastAsia" w:ascii="仿宋_GB2312" w:hAnsi="仿宋_GB2312" w:eastAsia="仿宋_GB2312" w:cs="仿宋_GB2312"/>
          <w:b/>
          <w:bCs/>
          <w:iCs/>
          <w:sz w:val="24"/>
          <w:szCs w:val="24"/>
        </w:rPr>
        <w:t>0分）</w:t>
      </w:r>
    </w:p>
    <w:p w14:paraId="5DBE5B3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val="0"/>
          <w:iCs/>
          <w:color w:val="auto"/>
          <w:sz w:val="24"/>
          <w:highlight w:val="none"/>
        </w:rPr>
      </w:pPr>
      <w:r>
        <w:rPr>
          <w:rFonts w:hint="eastAsia" w:ascii="仿宋_GB2312" w:hAnsi="仿宋_GB2312" w:eastAsia="仿宋_GB2312" w:cs="仿宋_GB2312"/>
          <w:b w:val="0"/>
          <w:bCs w:val="0"/>
          <w:iCs/>
          <w:color w:val="auto"/>
          <w:sz w:val="24"/>
          <w:highlight w:val="none"/>
        </w:rPr>
        <w:t>2.2.1评标基准价：即满足招标文件要求且投标下浮率最高的投标报价为评标基准价，其价格分为满分。</w:t>
      </w:r>
    </w:p>
    <w:p w14:paraId="66FA7C1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val="0"/>
          <w:iCs/>
          <w:color w:val="auto"/>
          <w:sz w:val="24"/>
          <w:highlight w:val="none"/>
        </w:rPr>
      </w:pPr>
      <w:r>
        <w:rPr>
          <w:rFonts w:hint="eastAsia" w:ascii="仿宋_GB2312" w:hAnsi="仿宋_GB2312" w:eastAsia="仿宋_GB2312" w:cs="仿宋_GB2312"/>
          <w:b w:val="0"/>
          <w:bCs w:val="0"/>
          <w:iCs/>
          <w:color w:val="auto"/>
          <w:sz w:val="24"/>
          <w:highlight w:val="none"/>
        </w:rPr>
        <w:t>2.2.2其他投标人的价格分统一按照下列公式计算(保留小数2位)：</w:t>
      </w:r>
    </w:p>
    <w:p w14:paraId="0393C0A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val="0"/>
          <w:iCs/>
          <w:color w:val="auto"/>
          <w:sz w:val="24"/>
          <w:highlight w:val="none"/>
        </w:rPr>
      </w:pPr>
      <w:r>
        <w:rPr>
          <w:rFonts w:hint="eastAsia" w:ascii="仿宋_GB2312" w:hAnsi="仿宋_GB2312" w:eastAsia="仿宋_GB2312" w:cs="仿宋_GB2312"/>
          <w:b w:val="0"/>
          <w:bCs w:val="0"/>
          <w:iCs/>
          <w:color w:val="auto"/>
          <w:sz w:val="24"/>
          <w:highlight w:val="none"/>
        </w:rPr>
        <w:t xml:space="preserve">投标报价得分=(1-评标基准价）／（1-投标下浮率）×价格权值×100 </w:t>
      </w:r>
    </w:p>
    <w:p w14:paraId="28FF7596">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iCs/>
          <w:color w:val="auto"/>
          <w:sz w:val="24"/>
          <w:highlight w:val="none"/>
        </w:rPr>
        <w:t>即：投标报价得分=(1-评标基准价）／（1-投标下浮率）×</w:t>
      </w:r>
      <w:r>
        <w:rPr>
          <w:rFonts w:hint="eastAsia" w:ascii="仿宋_GB2312" w:hAnsi="仿宋_GB2312" w:eastAsia="仿宋_GB2312" w:cs="仿宋_GB2312"/>
          <w:b w:val="0"/>
          <w:bCs w:val="0"/>
          <w:iCs/>
          <w:color w:val="auto"/>
          <w:sz w:val="24"/>
          <w:highlight w:val="none"/>
          <w:lang w:val="en-US" w:eastAsia="zh-CN"/>
        </w:rPr>
        <w:t>2</w:t>
      </w:r>
      <w:r>
        <w:rPr>
          <w:rFonts w:hint="eastAsia" w:ascii="仿宋_GB2312" w:hAnsi="仿宋_GB2312" w:eastAsia="仿宋_GB2312" w:cs="仿宋_GB2312"/>
          <w:b w:val="0"/>
          <w:bCs w:val="0"/>
          <w:iCs/>
          <w:color w:val="auto"/>
          <w:sz w:val="24"/>
          <w:highlight w:val="none"/>
        </w:rPr>
        <w:t>0</w:t>
      </w:r>
    </w:p>
    <w:sectPr>
      <w:headerReference r:id="rId3" w:type="default"/>
      <w:footerReference r:id="rId4" w:type="default"/>
      <w:pgSz w:w="11906" w:h="16838"/>
      <w:pgMar w:top="1417" w:right="1587" w:bottom="1417"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1" w:usb1="080E0000" w:usb2="00000000" w:usb3="00000000" w:csb0="00040000" w:csb1="00000000"/>
  </w:font>
  <w:font w:name="Lucida Sans">
    <w:altName w:val="Lucida Sans Unicode"/>
    <w:panose1 w:val="020B0602040502020204"/>
    <w:charset w:val="00"/>
    <w:family w:val="swiss"/>
    <w:pitch w:val="default"/>
    <w:sig w:usb0="8100AAF7" w:usb1="0000807B" w:usb2="00000008" w:usb3="00000000" w:csb0="6000009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3BE3B">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3F2948">
                          <w:pPr>
                            <w:pStyle w:val="8"/>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EREUCndAQAAvgMAAA4AAAAAAAAA&#10;AQAgAAAAHgEAAGRycy9lMm9Eb2MueG1sUEsFBgAAAAAGAAYAWQEAAG0FAAAAAA==&#10;">
              <v:fill on="f" focussize="0,0"/>
              <v:stroke on="f"/>
              <v:imagedata o:title=""/>
              <o:lock v:ext="edit" aspectratio="f"/>
              <v:textbox inset="0mm,0mm,0mm,0mm" style="mso-fit-shape-to-text:t;">
                <w:txbxContent>
                  <w:p w14:paraId="533F2948">
                    <w:pPr>
                      <w:pStyle w:val="8"/>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26124">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2"/>
      <w:lvlText w:val="%1."/>
      <w:lvlJc w:val="left"/>
      <w:pPr>
        <w:tabs>
          <w:tab w:val="left" w:pos="360"/>
        </w:tabs>
        <w:ind w:left="360" w:hanging="360"/>
      </w:pPr>
    </w:lvl>
  </w:abstractNum>
  <w:abstractNum w:abstractNumId="1">
    <w:nsid w:val="5CB017FC"/>
    <w:multiLevelType w:val="multilevel"/>
    <w:tmpl w:val="5CB017FC"/>
    <w:lvl w:ilvl="0" w:tentative="0">
      <w:start w:val="1"/>
      <w:numFmt w:val="decimal"/>
      <w:pStyle w:val="3"/>
      <w:suff w:val="space"/>
      <w:lvlText w:val="第 %1 章"/>
      <w:lvlJc w:val="left"/>
      <w:pPr>
        <w:ind w:left="425" w:hanging="425"/>
      </w:pPr>
      <w:rPr>
        <w:rFonts w:hint="eastAsia"/>
      </w:rPr>
    </w:lvl>
    <w:lvl w:ilvl="1" w:tentative="0">
      <w:start w:val="1"/>
      <w:numFmt w:val="decimal"/>
      <w:lvlText w:val="%1.%2 "/>
      <w:lvlJc w:val="left"/>
      <w:pPr>
        <w:tabs>
          <w:tab w:val="left" w:pos="1145"/>
        </w:tabs>
        <w:ind w:left="992" w:hanging="567"/>
      </w:pPr>
      <w:rPr>
        <w:rFonts w:hint="eastAsia"/>
      </w:rPr>
    </w:lvl>
    <w:lvl w:ilvl="2" w:tentative="0">
      <w:start w:val="1"/>
      <w:numFmt w:val="decimal"/>
      <w:lvlText w:val="〔%3〕、"/>
      <w:lvlJc w:val="left"/>
      <w:pPr>
        <w:tabs>
          <w:tab w:val="left" w:pos="2651"/>
        </w:tabs>
        <w:ind w:left="1418" w:hanging="567"/>
      </w:pPr>
      <w:rPr>
        <w:rFonts w:hint="eastAsia"/>
      </w:rPr>
    </w:lvl>
    <w:lvl w:ilvl="3" w:tentative="0">
      <w:start w:val="1"/>
      <w:numFmt w:val="none"/>
      <w:lvlText w:val=""/>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75743E7D"/>
    <w:multiLevelType w:val="multilevel"/>
    <w:tmpl w:val="75743E7D"/>
    <w:lvl w:ilvl="0" w:tentative="0">
      <w:start w:val="1"/>
      <w:numFmt w:val="bullet"/>
      <w:pStyle w:val="10"/>
      <w:lvlText w:val=""/>
      <w:lvlJc w:val="left"/>
      <w:pPr>
        <w:tabs>
          <w:tab w:val="left" w:pos="1065"/>
        </w:tabs>
        <w:ind w:left="1065" w:hanging="420"/>
      </w:pPr>
      <w:rPr>
        <w:rFonts w:hint="default" w:ascii="Wingdings" w:hAnsi="Wingdings"/>
      </w:rPr>
    </w:lvl>
    <w:lvl w:ilvl="1" w:tentative="0">
      <w:start w:val="3"/>
      <w:numFmt w:val="decimalFullWidth"/>
      <w:lvlText w:val="%2．"/>
      <w:lvlJc w:val="left"/>
      <w:pPr>
        <w:tabs>
          <w:tab w:val="left" w:pos="1785"/>
        </w:tabs>
        <w:ind w:left="1785" w:hanging="72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4ZDc1YzJmOTZlMjRkYjVmNmRjZTdjMzJiZDdhOGMifQ=="/>
  </w:docVars>
  <w:rsids>
    <w:rsidRoot w:val="00000000"/>
    <w:rsid w:val="00C53315"/>
    <w:rsid w:val="00DC3B72"/>
    <w:rsid w:val="02163609"/>
    <w:rsid w:val="02437DE0"/>
    <w:rsid w:val="02DB2B58"/>
    <w:rsid w:val="046B0667"/>
    <w:rsid w:val="051714EB"/>
    <w:rsid w:val="083531C2"/>
    <w:rsid w:val="08914E02"/>
    <w:rsid w:val="096F59C0"/>
    <w:rsid w:val="0A1E6510"/>
    <w:rsid w:val="0B2E43B3"/>
    <w:rsid w:val="0BA43D4D"/>
    <w:rsid w:val="0C827A5F"/>
    <w:rsid w:val="0D914F56"/>
    <w:rsid w:val="0E1921EF"/>
    <w:rsid w:val="0F52794B"/>
    <w:rsid w:val="10380804"/>
    <w:rsid w:val="10F42BF2"/>
    <w:rsid w:val="11124B67"/>
    <w:rsid w:val="1123645E"/>
    <w:rsid w:val="116132CC"/>
    <w:rsid w:val="136E0E42"/>
    <w:rsid w:val="139A7B31"/>
    <w:rsid w:val="13C35DE6"/>
    <w:rsid w:val="13FE72E0"/>
    <w:rsid w:val="141409D0"/>
    <w:rsid w:val="14264FE0"/>
    <w:rsid w:val="145C6BF7"/>
    <w:rsid w:val="1496152F"/>
    <w:rsid w:val="14BD6C2B"/>
    <w:rsid w:val="14CE15D1"/>
    <w:rsid w:val="153C0E85"/>
    <w:rsid w:val="172C55BA"/>
    <w:rsid w:val="18AC7CF0"/>
    <w:rsid w:val="18E54031"/>
    <w:rsid w:val="18F47610"/>
    <w:rsid w:val="194E2305"/>
    <w:rsid w:val="1A1823FA"/>
    <w:rsid w:val="1B6F47EE"/>
    <w:rsid w:val="1C8F4739"/>
    <w:rsid w:val="1D0F5CEA"/>
    <w:rsid w:val="1F3643A1"/>
    <w:rsid w:val="1FB25CB9"/>
    <w:rsid w:val="1FB47A5D"/>
    <w:rsid w:val="202A7C37"/>
    <w:rsid w:val="20FE7BA8"/>
    <w:rsid w:val="213706F8"/>
    <w:rsid w:val="21C321F1"/>
    <w:rsid w:val="22102A7B"/>
    <w:rsid w:val="23055A68"/>
    <w:rsid w:val="24214B09"/>
    <w:rsid w:val="258A5BAC"/>
    <w:rsid w:val="25964983"/>
    <w:rsid w:val="25FE226B"/>
    <w:rsid w:val="27AC2A3C"/>
    <w:rsid w:val="27E9400B"/>
    <w:rsid w:val="293160A7"/>
    <w:rsid w:val="29B025BF"/>
    <w:rsid w:val="2A6737E4"/>
    <w:rsid w:val="2AC563B9"/>
    <w:rsid w:val="2AFA2D27"/>
    <w:rsid w:val="2C4F325A"/>
    <w:rsid w:val="2C6C176C"/>
    <w:rsid w:val="2C921C34"/>
    <w:rsid w:val="2DF14350"/>
    <w:rsid w:val="2FB61EAF"/>
    <w:rsid w:val="30C07695"/>
    <w:rsid w:val="32857343"/>
    <w:rsid w:val="33EE1D91"/>
    <w:rsid w:val="34180991"/>
    <w:rsid w:val="34214ADA"/>
    <w:rsid w:val="343A3CF7"/>
    <w:rsid w:val="355237C4"/>
    <w:rsid w:val="35C366DA"/>
    <w:rsid w:val="36EF2F5A"/>
    <w:rsid w:val="36FE72C1"/>
    <w:rsid w:val="378E375D"/>
    <w:rsid w:val="37B97A18"/>
    <w:rsid w:val="37FC2B95"/>
    <w:rsid w:val="385B005B"/>
    <w:rsid w:val="389868C3"/>
    <w:rsid w:val="38A42E7B"/>
    <w:rsid w:val="39F359D5"/>
    <w:rsid w:val="3A5E050D"/>
    <w:rsid w:val="3A9F1644"/>
    <w:rsid w:val="3B6E7AE7"/>
    <w:rsid w:val="3BF875CF"/>
    <w:rsid w:val="3D04775A"/>
    <w:rsid w:val="3D842087"/>
    <w:rsid w:val="3E513956"/>
    <w:rsid w:val="4169609A"/>
    <w:rsid w:val="425746D8"/>
    <w:rsid w:val="42AF1160"/>
    <w:rsid w:val="43781984"/>
    <w:rsid w:val="43E52C55"/>
    <w:rsid w:val="43F7451C"/>
    <w:rsid w:val="452B3B59"/>
    <w:rsid w:val="45391D7E"/>
    <w:rsid w:val="45D00A4D"/>
    <w:rsid w:val="47051336"/>
    <w:rsid w:val="49381CC0"/>
    <w:rsid w:val="494012CE"/>
    <w:rsid w:val="495844CC"/>
    <w:rsid w:val="4C157322"/>
    <w:rsid w:val="4D281BA6"/>
    <w:rsid w:val="4D5D5D30"/>
    <w:rsid w:val="4DDB129A"/>
    <w:rsid w:val="4E602D67"/>
    <w:rsid w:val="4F201D3B"/>
    <w:rsid w:val="4FA027DE"/>
    <w:rsid w:val="4FF02A6F"/>
    <w:rsid w:val="50EE5964"/>
    <w:rsid w:val="51C12885"/>
    <w:rsid w:val="52000A30"/>
    <w:rsid w:val="525E57EB"/>
    <w:rsid w:val="528B461B"/>
    <w:rsid w:val="52DC464F"/>
    <w:rsid w:val="52E51A4B"/>
    <w:rsid w:val="534A6460"/>
    <w:rsid w:val="5397554B"/>
    <w:rsid w:val="539D7790"/>
    <w:rsid w:val="540C3303"/>
    <w:rsid w:val="54500B1E"/>
    <w:rsid w:val="55A627C7"/>
    <w:rsid w:val="55B47CEE"/>
    <w:rsid w:val="566A1F33"/>
    <w:rsid w:val="56F13D8B"/>
    <w:rsid w:val="57181544"/>
    <w:rsid w:val="57AE34E8"/>
    <w:rsid w:val="57FA6D31"/>
    <w:rsid w:val="58A525B7"/>
    <w:rsid w:val="58BD34B0"/>
    <w:rsid w:val="59237BD6"/>
    <w:rsid w:val="5A54711C"/>
    <w:rsid w:val="5A764427"/>
    <w:rsid w:val="5ADD4C98"/>
    <w:rsid w:val="5B263FAD"/>
    <w:rsid w:val="5DF95F67"/>
    <w:rsid w:val="5E2D69F4"/>
    <w:rsid w:val="5EAD63E0"/>
    <w:rsid w:val="5F2211A5"/>
    <w:rsid w:val="5FB60ACB"/>
    <w:rsid w:val="60042910"/>
    <w:rsid w:val="60C10E4A"/>
    <w:rsid w:val="61260534"/>
    <w:rsid w:val="61933D97"/>
    <w:rsid w:val="61986663"/>
    <w:rsid w:val="61DE2022"/>
    <w:rsid w:val="61EE13F2"/>
    <w:rsid w:val="61F439E8"/>
    <w:rsid w:val="62580EE1"/>
    <w:rsid w:val="62BF1CD5"/>
    <w:rsid w:val="63714B74"/>
    <w:rsid w:val="65E843D9"/>
    <w:rsid w:val="667E6D9F"/>
    <w:rsid w:val="672006AC"/>
    <w:rsid w:val="68466818"/>
    <w:rsid w:val="68F756DC"/>
    <w:rsid w:val="69D16911"/>
    <w:rsid w:val="6AB778B5"/>
    <w:rsid w:val="6AFF52D7"/>
    <w:rsid w:val="6B8B3991"/>
    <w:rsid w:val="6C095C7F"/>
    <w:rsid w:val="6D016B63"/>
    <w:rsid w:val="6DA815DF"/>
    <w:rsid w:val="6E5807C0"/>
    <w:rsid w:val="6FC716C6"/>
    <w:rsid w:val="707A4897"/>
    <w:rsid w:val="727808E4"/>
    <w:rsid w:val="72AA0BB7"/>
    <w:rsid w:val="734A5DA6"/>
    <w:rsid w:val="740C409E"/>
    <w:rsid w:val="74385E6C"/>
    <w:rsid w:val="74AB2537"/>
    <w:rsid w:val="74C138F5"/>
    <w:rsid w:val="75371478"/>
    <w:rsid w:val="757769C7"/>
    <w:rsid w:val="769A530B"/>
    <w:rsid w:val="76A46AB3"/>
    <w:rsid w:val="76E21E0B"/>
    <w:rsid w:val="77D3745B"/>
    <w:rsid w:val="7842321F"/>
    <w:rsid w:val="785B42F4"/>
    <w:rsid w:val="78655305"/>
    <w:rsid w:val="79424F22"/>
    <w:rsid w:val="79AA07D5"/>
    <w:rsid w:val="79DE3C32"/>
    <w:rsid w:val="7A321B24"/>
    <w:rsid w:val="7A4945EA"/>
    <w:rsid w:val="7B1B1DE3"/>
    <w:rsid w:val="7B5C0E6A"/>
    <w:rsid w:val="7BBE1B33"/>
    <w:rsid w:val="7BC33247"/>
    <w:rsid w:val="7BF746F9"/>
    <w:rsid w:val="7C835EE6"/>
    <w:rsid w:val="7CEF49EA"/>
    <w:rsid w:val="7DE90A0C"/>
    <w:rsid w:val="7DED0683"/>
    <w:rsid w:val="7E8A174A"/>
    <w:rsid w:val="7F094D16"/>
    <w:rsid w:val="7FD355E5"/>
    <w:rsid w:val="BBFED7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numPr>
        <w:ilvl w:val="0"/>
        <w:numId w:val="1"/>
      </w:numPr>
      <w:spacing w:before="340" w:after="330" w:line="578" w:lineRule="auto"/>
      <w:outlineLvl w:val="0"/>
    </w:pPr>
    <w:rPr>
      <w:rFonts w:eastAsia="仿宋_GB2312"/>
      <w:b/>
      <w:kern w:val="44"/>
      <w:sz w:val="44"/>
      <w:szCs w:val="20"/>
    </w:rPr>
  </w:style>
  <w:style w:type="paragraph" w:styleId="2">
    <w:name w:val="heading 2"/>
    <w:basedOn w:val="1"/>
    <w:next w:val="1"/>
    <w:qFormat/>
    <w:uiPriority w:val="0"/>
    <w:pPr>
      <w:keepNext/>
      <w:keepLines/>
      <w:numPr>
        <w:ilvl w:val="0"/>
        <w:numId w:val="2"/>
      </w:numPr>
      <w:tabs>
        <w:tab w:val="left" w:pos="1145"/>
        <w:tab w:val="clear" w:pos="360"/>
      </w:tabs>
      <w:spacing w:before="260" w:after="260" w:line="416" w:lineRule="auto"/>
      <w:ind w:left="992" w:hanging="567" w:firstLineChars="0"/>
      <w:outlineLvl w:val="1"/>
    </w:pPr>
    <w:rPr>
      <w:rFonts w:ascii="Arial" w:hAnsi="Arial" w:eastAsia="黑体"/>
      <w:b/>
      <w:sz w:val="32"/>
      <w:szCs w:val="20"/>
    </w:rPr>
  </w:style>
  <w:style w:type="character" w:default="1" w:styleId="14">
    <w:name w:val="Default Paragraph Font"/>
    <w:semiHidden/>
    <w:uiPriority w:val="0"/>
  </w:style>
  <w:style w:type="table" w:default="1" w:styleId="12">
    <w:name w:val="Normal Table"/>
    <w:semiHidden/>
    <w:uiPriority w:val="0"/>
    <w:tblPr>
      <w:tblStyle w:val="12"/>
      <w:tblCellMar>
        <w:top w:w="0" w:type="dxa"/>
        <w:left w:w="108" w:type="dxa"/>
        <w:bottom w:w="0" w:type="dxa"/>
        <w:right w:w="108" w:type="dxa"/>
      </w:tblCellMar>
    </w:tblPr>
  </w:style>
  <w:style w:type="paragraph" w:styleId="4">
    <w:name w:val="annotation text"/>
    <w:basedOn w:val="1"/>
    <w:semiHidden/>
    <w:qFormat/>
    <w:uiPriority w:val="0"/>
    <w:pPr>
      <w:jc w:val="left"/>
    </w:pPr>
  </w:style>
  <w:style w:type="paragraph" w:styleId="5">
    <w:name w:val="List 2"/>
    <w:basedOn w:val="1"/>
    <w:unhideWhenUsed/>
    <w:qFormat/>
    <w:uiPriority w:val="99"/>
    <w:pPr>
      <w:spacing w:before="100" w:beforeLines="0" w:beforeAutospacing="1" w:after="100" w:afterLines="0" w:afterAutospacing="1" w:line="360" w:lineRule="auto"/>
      <w:ind w:left="100" w:leftChars="200" w:hanging="200" w:hangingChars="200"/>
      <w:contextualSpacing/>
    </w:pPr>
    <w:rPr>
      <w:rFonts w:ascii="Times New Roman" w:hAnsi="Times New Roman" w:eastAsia="宋体" w:cs="Times New Roman"/>
      <w:sz w:val="24"/>
    </w:rPr>
  </w:style>
  <w:style w:type="paragraph" w:styleId="6">
    <w:name w:val="Plain Text"/>
    <w:basedOn w:val="1"/>
    <w:qFormat/>
    <w:uiPriority w:val="0"/>
    <w:rPr>
      <w:rFonts w:ascii="宋体" w:hAnsi="Courier New"/>
      <w:szCs w:val="20"/>
    </w:rPr>
  </w:style>
  <w:style w:type="paragraph" w:styleId="7">
    <w:name w:val="Body Text Indent 2"/>
    <w:basedOn w:val="1"/>
    <w:qFormat/>
    <w:uiPriority w:val="0"/>
    <w:pPr>
      <w:spacing w:after="120" w:line="480" w:lineRule="auto"/>
      <w:ind w:left="420" w:leftChars="200"/>
    </w:pPr>
  </w:style>
  <w:style w:type="paragraph" w:styleId="8">
    <w:name w:val="footer"/>
    <w:basedOn w:val="1"/>
    <w:uiPriority w:val="0"/>
    <w:pPr>
      <w:tabs>
        <w:tab w:val="center" w:pos="4153"/>
        <w:tab w:val="right" w:pos="8306"/>
      </w:tabs>
      <w:snapToGrid w:val="0"/>
      <w:jc w:val="left"/>
    </w:pPr>
    <w:rPr>
      <w:sz w:val="18"/>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2"/>
    <w:basedOn w:val="1"/>
    <w:unhideWhenUsed/>
    <w:qFormat/>
    <w:uiPriority w:val="99"/>
    <w:pPr>
      <w:numPr>
        <w:ilvl w:val="0"/>
        <w:numId w:val="3"/>
      </w:numPr>
      <w:spacing w:after="120" w:line="360" w:lineRule="auto"/>
    </w:pPr>
    <w:rPr>
      <w:sz w:val="24"/>
      <w:szCs w:val="20"/>
    </w:rPr>
  </w:style>
  <w:style w:type="paragraph" w:styleId="11">
    <w:name w:val="Normal (Web)"/>
    <w:basedOn w:val="1"/>
    <w:qFormat/>
    <w:uiPriority w:val="99"/>
    <w:pPr>
      <w:spacing w:before="100" w:beforeAutospacing="1" w:after="100" w:afterAutospacing="1"/>
      <w:ind w:left="0" w:right="0"/>
      <w:jc w:val="left"/>
    </w:pPr>
    <w:rPr>
      <w:kern w:val="0"/>
      <w:sz w:val="24"/>
      <w:lang w:val="en-US" w:eastAsia="zh-CN" w:bidi="ar"/>
    </w:rPr>
  </w:style>
  <w:style w:type="table" w:styleId="13">
    <w:name w:val="Table Grid"/>
    <w:basedOn w:val="12"/>
    <w:uiPriority w:val="0"/>
    <w:pPr>
      <w:widowControl w:val="0"/>
      <w:jc w:val="both"/>
    </w:pPr>
    <w:tblPr>
      <w:tblStyle w:val="12"/>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uiPriority w:val="0"/>
    <w:rPr>
      <w:color w:val="0000FF"/>
      <w:u w:val="single"/>
    </w:rPr>
  </w:style>
  <w:style w:type="paragraph" w:customStyle="1" w:styleId="16">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17">
    <w:name w:val="列出段落1"/>
    <w:basedOn w:val="1"/>
    <w:next w:val="1"/>
    <w:qFormat/>
    <w:uiPriority w:val="0"/>
    <w:pPr>
      <w:adjustRightInd w:val="0"/>
      <w:spacing w:line="360" w:lineRule="auto"/>
      <w:ind w:firstLine="200" w:firstLineChars="200"/>
    </w:pPr>
    <w:rPr>
      <w:rFonts w:eastAsia="楷体_GB2312" w:cs="Lucida Sans"/>
      <w:sz w:val="24"/>
    </w:rPr>
  </w:style>
  <w:style w:type="paragraph" w:customStyle="1" w:styleId="18">
    <w:name w:val="首行缩进"/>
    <w:basedOn w:val="1"/>
    <w:qFormat/>
    <w:uiPriority w:val="0"/>
    <w:pPr>
      <w:spacing w:line="360" w:lineRule="auto"/>
      <w:ind w:firstLine="480" w:firstLineChars="200"/>
    </w:pPr>
    <w:rPr>
      <w:rFonts w:ascii="宋体" w:hAnsi="宋体" w:cs="宋体"/>
      <w:kern w:val="0"/>
      <w:sz w:val="24"/>
    </w:rPr>
  </w:style>
  <w:style w:type="paragraph" w:customStyle="1" w:styleId="19">
    <w:name w:val="p0"/>
    <w:basedOn w:val="1"/>
    <w:qFormat/>
    <w:uiPriority w:val="0"/>
    <w:pPr>
      <w:widowControl/>
    </w:pPr>
    <w:rPr>
      <w:rFonts w:ascii="Times New Roman" w:hAnsi="Times New Roman"/>
      <w:kern w:val="0"/>
      <w:szCs w:val="21"/>
    </w:rPr>
  </w:style>
  <w:style w:type="paragraph" w:customStyle="1" w:styleId="20">
    <w:name w:val="正文段"/>
    <w:basedOn w:val="1"/>
    <w:qFormat/>
    <w:uiPriority w:val="0"/>
    <w:pPr>
      <w:widowControl/>
      <w:snapToGrid w:val="0"/>
      <w:spacing w:after="50" w:afterLines="50"/>
      <w:ind w:firstLine="200" w:firstLineChars="200"/>
    </w:pPr>
    <w:rPr>
      <w:kern w:val="0"/>
      <w:sz w:val="24"/>
      <w:szCs w:val="20"/>
    </w:rPr>
  </w:style>
  <w:style w:type="paragraph" w:customStyle="1" w:styleId="21">
    <w:name w:val="List Paragraph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2381</Words>
  <Characters>2457</Characters>
  <Lines>0</Lines>
  <Paragraphs>0</Paragraphs>
  <TotalTime>11</TotalTime>
  <ScaleCrop>false</ScaleCrop>
  <LinksUpToDate>false</LinksUpToDate>
  <CharactersWithSpaces>2459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2023-08-09T18:24:27Z</dcterms:created>
  <dc:creator>Administrator</dc:creator>
  <cp:lastModifiedBy>徐玉华</cp:lastModifiedBy>
  <cp:lastPrinted>2026-08-14T03:58:34Z</cp:lastPrinted>
  <dcterms:modified xsi:type="dcterms:W3CDTF">2026-08-28T08:02:11Z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E8266A4C8DA14358BD1E9EC063712DAD_13</vt:lpwstr>
  </property>
  <property fmtid="{D5CDD505-2E9C-101B-9397-08002B2CF9AE}" pid="4" name="KSOTemplateDocerSaveRecord">
    <vt:lpwstr>eyJoZGlkIjoiODIxOTdlZGVlOWI4M2U3YmM2N2Q2ODg1NGFkMmIwMzAiLCJ1c2VySWQiOiIxMDQyNTQzODA1In0=</vt:lpwstr>
  </property>
</Properties>
</file>