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C25A3">
      <w:pPr>
        <w:pStyle w:val="8"/>
        <w:keepNext w:val="0"/>
        <w:keepLines w:val="0"/>
        <w:widowControl/>
        <w:suppressLineNumbers w:val="0"/>
        <w:spacing w:before="255" w:beforeAutospacing="0" w:after="255" w:afterAutospacing="0" w:line="240" w:lineRule="auto"/>
        <w:ind w:left="0" w:right="0"/>
        <w:jc w:val="left"/>
        <w:rPr>
          <w:rFonts w:hint="eastAsia" w:ascii="黑体" w:hAnsi="黑体" w:eastAsia="黑体" w:cs="黑体"/>
          <w:b/>
          <w:bCs/>
          <w:color w:val="000000"/>
          <w:kern w:val="2"/>
          <w:sz w:val="32"/>
          <w:szCs w:val="32"/>
          <w:lang w:val="en-US" w:eastAsia="zh-CN" w:bidi="ar-SA"/>
        </w:rPr>
      </w:pPr>
      <w:r>
        <w:rPr>
          <w:rFonts w:hint="eastAsia" w:ascii="仿宋_GB2312" w:hAnsi="仿宋_GB2312" w:eastAsia="仿宋_GB2312" w:cs="仿宋_GB2312"/>
          <w:b/>
          <w:bCs/>
          <w:color w:val="000000"/>
          <w:kern w:val="2"/>
          <w:sz w:val="24"/>
          <w:szCs w:val="24"/>
          <w:lang w:val="en-US" w:eastAsia="zh-CN" w:bidi="ar-SA"/>
        </w:rPr>
        <w:t>附件一、</w:t>
      </w:r>
    </w:p>
    <w:p w14:paraId="53EA208D">
      <w:pPr>
        <w:pStyle w:val="6"/>
        <w:keepNext w:val="0"/>
        <w:keepLines w:val="0"/>
        <w:widowControl/>
        <w:numPr>
          <w:ilvl w:val="0"/>
          <w:numId w:val="0"/>
        </w:numPr>
        <w:suppressLineNumbers w:val="0"/>
        <w:snapToGrid w:val="0"/>
        <w:spacing w:before="255" w:beforeAutospacing="0" w:after="255" w:afterAutospacing="0" w:line="360" w:lineRule="auto"/>
        <w:ind w:right="0" w:firstLine="883" w:firstLineChars="200"/>
        <w:jc w:val="center"/>
        <w:rPr>
          <w:rFonts w:hint="eastAsia" w:ascii="黑体" w:hAnsi="黑体" w:eastAsia="黑体" w:cs="黑体"/>
          <w:color w:val="000000"/>
          <w:kern w:val="2"/>
          <w:sz w:val="32"/>
          <w:szCs w:val="32"/>
          <w:lang w:val="en-US" w:eastAsia="zh-CN" w:bidi="ar-SA"/>
        </w:rPr>
      </w:pPr>
      <w:r>
        <w:rPr>
          <w:rFonts w:hint="eastAsia" w:ascii="黑体" w:hAnsi="黑体" w:eastAsia="黑体" w:cs="黑体"/>
          <w:b/>
          <w:bCs/>
          <w:color w:val="000000"/>
          <w:kern w:val="2"/>
          <w:sz w:val="44"/>
          <w:szCs w:val="44"/>
          <w:lang w:val="en-US" w:eastAsia="zh-CN" w:bidi="ar-SA"/>
        </w:rPr>
        <w:t>一、</w:t>
      </w:r>
      <w:r>
        <w:rPr>
          <w:rFonts w:hint="eastAsia" w:ascii="黑体" w:hAnsi="黑体" w:eastAsia="黑体" w:cs="黑体"/>
          <w:b/>
          <w:bCs w:val="0"/>
          <w:sz w:val="44"/>
          <w:szCs w:val="44"/>
          <w:lang w:val="en-US" w:eastAsia="zh-CN"/>
        </w:rPr>
        <w:t>评标方法及标准</w:t>
      </w:r>
      <w:bookmarkStart w:id="0" w:name="_GoBack"/>
      <w:bookmarkEnd w:id="0"/>
    </w:p>
    <w:p w14:paraId="601545F4">
      <w:pPr>
        <w:wordWrap w:val="0"/>
        <w:spacing w:line="440" w:lineRule="exact"/>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1、评标方法：</w:t>
      </w:r>
    </w:p>
    <w:p w14:paraId="111C0D52">
      <w:pPr>
        <w:wordWrap w:val="0"/>
        <w:spacing w:line="44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64A6F51">
      <w:pPr>
        <w:wordWrap w:val="0"/>
        <w:spacing w:line="440" w:lineRule="exact"/>
        <w:ind w:firstLine="480" w:firstLineChars="200"/>
        <w:jc w:val="left"/>
        <w:rPr>
          <w:rFonts w:hint="eastAsia" w:ascii="仿宋_GB2312" w:hAnsi="仿宋_GB2312" w:eastAsia="仿宋_GB2312" w:cs="仿宋_GB2312"/>
          <w:b w:val="0"/>
          <w:color w:val="auto"/>
          <w:sz w:val="24"/>
          <w:szCs w:val="24"/>
          <w:highlight w:val="none"/>
        </w:rPr>
      </w:pPr>
      <w:r>
        <w:rPr>
          <w:rFonts w:hint="eastAsia" w:ascii="仿宋_GB2312" w:hAnsi="仿宋_GB2312" w:eastAsia="仿宋_GB2312" w:cs="仿宋_GB2312"/>
          <w:b w:val="0"/>
          <w:color w:val="auto"/>
          <w:sz w:val="24"/>
          <w:szCs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C7517A0">
      <w:pPr>
        <w:wordWrap w:val="0"/>
        <w:spacing w:line="44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color w:val="auto"/>
          <w:sz w:val="24"/>
          <w:szCs w:val="24"/>
          <w:highlight w:val="none"/>
        </w:rPr>
        <w:t>非单一产品采购项目，采购人应当根据采购项目技术构成、产品价格比重等合理确定核心产品，并在招标文件中载明。多家投标人提供的核心产品品牌相同的，按前款规定处理。</w:t>
      </w:r>
    </w:p>
    <w:p w14:paraId="1D707FB5">
      <w:pPr>
        <w:wordWrap w:val="0"/>
        <w:spacing w:line="440" w:lineRule="exact"/>
        <w:ind w:firstLine="482"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2</w:t>
      </w: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评分标准：</w:t>
      </w:r>
      <w:r>
        <w:rPr>
          <w:rFonts w:hint="eastAsia" w:ascii="仿宋_GB2312" w:hAnsi="仿宋_GB2312" w:eastAsia="仿宋_GB2312" w:cs="仿宋_GB2312"/>
          <w:color w:val="auto"/>
          <w:sz w:val="24"/>
          <w:szCs w:val="24"/>
          <w:highlight w:val="none"/>
        </w:rPr>
        <w:t>共100分，其中商务技术分</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60</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分，价格分</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40</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分。评分依下述所列为评标打分依据，分值如下（计算分值时，按其算术平均值保留小数2位）。</w:t>
      </w:r>
    </w:p>
    <w:p w14:paraId="77D8B5A8">
      <w:pPr>
        <w:spacing w:line="440" w:lineRule="exact"/>
        <w:ind w:firstLine="482" w:firstLineChars="200"/>
        <w:rPr>
          <w:rFonts w:hint="eastAsia" w:ascii="仿宋_GB2312" w:hAnsi="仿宋_GB2312" w:eastAsia="仿宋_GB2312" w:cs="仿宋_GB2312"/>
          <w:b/>
          <w:bCs/>
          <w:iCs/>
          <w:color w:val="auto"/>
          <w:spacing w:val="0"/>
          <w:position w:val="0"/>
          <w:sz w:val="24"/>
          <w:szCs w:val="24"/>
          <w:highlight w:val="none"/>
          <w:lang w:val="en-US"/>
        </w:rPr>
      </w:pPr>
      <w:r>
        <w:rPr>
          <w:rFonts w:hint="eastAsia" w:ascii="仿宋_GB2312" w:hAnsi="仿宋_GB2312" w:eastAsia="仿宋_GB2312" w:cs="仿宋_GB2312"/>
          <w:b/>
          <w:bCs/>
          <w:iCs/>
          <w:color w:val="auto"/>
          <w:sz w:val="24"/>
          <w:szCs w:val="24"/>
          <w:highlight w:val="none"/>
        </w:rPr>
        <w:t>2.1</w:t>
      </w:r>
      <w:r>
        <w:rPr>
          <w:rFonts w:hint="eastAsia" w:ascii="仿宋_GB2312" w:hAnsi="仿宋_GB2312" w:eastAsia="仿宋_GB2312" w:cs="仿宋_GB2312"/>
          <w:b/>
          <w:bCs/>
          <w:iCs/>
          <w:color w:val="auto"/>
          <w:sz w:val="24"/>
          <w:szCs w:val="24"/>
          <w:highlight w:val="none"/>
          <w:lang w:bidi="ar"/>
        </w:rPr>
        <w:t>商务技术分（</w:t>
      </w:r>
      <w:r>
        <w:rPr>
          <w:rFonts w:hint="eastAsia" w:ascii="仿宋_GB2312" w:hAnsi="仿宋_GB2312" w:eastAsia="仿宋_GB2312" w:cs="仿宋_GB2312"/>
          <w:b/>
          <w:bCs/>
          <w:iCs/>
          <w:color w:val="auto"/>
          <w:sz w:val="24"/>
          <w:szCs w:val="24"/>
          <w:highlight w:val="none"/>
          <w:lang w:val="en-US" w:eastAsia="zh-CN" w:bidi="ar"/>
        </w:rPr>
        <w:t>6</w:t>
      </w:r>
      <w:r>
        <w:rPr>
          <w:rFonts w:hint="eastAsia" w:ascii="仿宋_GB2312" w:hAnsi="仿宋_GB2312" w:eastAsia="仿宋_GB2312" w:cs="仿宋_GB2312"/>
          <w:b/>
          <w:bCs/>
          <w:iCs/>
          <w:color w:val="auto"/>
          <w:sz w:val="24"/>
          <w:szCs w:val="24"/>
          <w:highlight w:val="none"/>
          <w:lang w:bidi="ar"/>
        </w:rPr>
        <w:t>0分）</w:t>
      </w:r>
    </w:p>
    <w:tbl>
      <w:tblPr>
        <w:tblStyle w:val="9"/>
        <w:tblW w:w="9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208"/>
        <w:gridCol w:w="6742"/>
        <w:gridCol w:w="806"/>
      </w:tblGrid>
      <w:tr w14:paraId="52A5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blHeader/>
          <w:jc w:val="center"/>
        </w:trPr>
        <w:tc>
          <w:tcPr>
            <w:tcW w:w="732" w:type="dxa"/>
            <w:noWrap w:val="0"/>
            <w:vAlign w:val="center"/>
          </w:tcPr>
          <w:p w14:paraId="63D179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b/>
                <w:bCs/>
                <w:color w:val="auto"/>
                <w:spacing w:val="0"/>
                <w:position w:val="0"/>
                <w:sz w:val="24"/>
                <w:szCs w:val="24"/>
                <w:highlight w:val="none"/>
              </w:rPr>
            </w:pPr>
            <w:r>
              <w:rPr>
                <w:rFonts w:hint="eastAsia" w:ascii="仿宋_GB2312" w:hAnsi="仿宋_GB2312" w:eastAsia="仿宋_GB2312" w:cs="仿宋_GB2312"/>
                <w:b/>
                <w:bCs/>
                <w:color w:val="auto"/>
                <w:spacing w:val="0"/>
                <w:position w:val="0"/>
                <w:sz w:val="24"/>
                <w:szCs w:val="24"/>
                <w:highlight w:val="none"/>
              </w:rPr>
              <w:t>序号</w:t>
            </w:r>
          </w:p>
        </w:tc>
        <w:tc>
          <w:tcPr>
            <w:tcW w:w="1208" w:type="dxa"/>
            <w:noWrap w:val="0"/>
            <w:vAlign w:val="center"/>
          </w:tcPr>
          <w:p w14:paraId="557A3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b/>
                <w:bCs/>
                <w:color w:val="auto"/>
                <w:spacing w:val="0"/>
                <w:position w:val="0"/>
                <w:sz w:val="24"/>
                <w:szCs w:val="24"/>
                <w:highlight w:val="none"/>
                <w:lang w:eastAsia="zh-CN"/>
              </w:rPr>
            </w:pPr>
            <w:r>
              <w:rPr>
                <w:rFonts w:hint="eastAsia" w:ascii="仿宋_GB2312" w:hAnsi="仿宋_GB2312" w:eastAsia="仿宋_GB2312" w:cs="仿宋_GB2312"/>
                <w:b/>
                <w:bCs/>
                <w:color w:val="auto"/>
                <w:spacing w:val="0"/>
                <w:position w:val="0"/>
                <w:sz w:val="24"/>
                <w:szCs w:val="24"/>
                <w:highlight w:val="none"/>
              </w:rPr>
              <w:t>评</w:t>
            </w:r>
            <w:r>
              <w:rPr>
                <w:rFonts w:hint="eastAsia" w:ascii="仿宋_GB2312" w:hAnsi="仿宋_GB2312" w:eastAsia="仿宋_GB2312" w:cs="仿宋_GB2312"/>
                <w:b/>
                <w:bCs/>
                <w:color w:val="auto"/>
                <w:spacing w:val="0"/>
                <w:position w:val="0"/>
                <w:sz w:val="24"/>
                <w:szCs w:val="24"/>
                <w:highlight w:val="none"/>
                <w:lang w:val="en-US" w:eastAsia="zh-CN"/>
              </w:rPr>
              <w:t>分项目</w:t>
            </w:r>
          </w:p>
        </w:tc>
        <w:tc>
          <w:tcPr>
            <w:tcW w:w="6742" w:type="dxa"/>
            <w:noWrap w:val="0"/>
            <w:vAlign w:val="center"/>
          </w:tcPr>
          <w:p w14:paraId="24E45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b/>
                <w:bCs/>
                <w:color w:val="auto"/>
                <w:spacing w:val="0"/>
                <w:position w:val="0"/>
                <w:sz w:val="24"/>
                <w:szCs w:val="24"/>
                <w:highlight w:val="none"/>
              </w:rPr>
            </w:pPr>
            <w:r>
              <w:rPr>
                <w:rFonts w:hint="eastAsia" w:ascii="仿宋_GB2312" w:hAnsi="仿宋_GB2312" w:eastAsia="仿宋_GB2312" w:cs="仿宋_GB2312"/>
                <w:b/>
                <w:bCs/>
                <w:color w:val="auto"/>
                <w:spacing w:val="0"/>
                <w:position w:val="0"/>
                <w:sz w:val="24"/>
                <w:szCs w:val="24"/>
                <w:highlight w:val="none"/>
              </w:rPr>
              <w:t>评审内容</w:t>
            </w:r>
          </w:p>
        </w:tc>
        <w:tc>
          <w:tcPr>
            <w:tcW w:w="806" w:type="dxa"/>
            <w:noWrap w:val="0"/>
            <w:vAlign w:val="center"/>
          </w:tcPr>
          <w:p w14:paraId="4ABFB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b/>
                <w:bCs/>
                <w:color w:val="auto"/>
                <w:spacing w:val="0"/>
                <w:position w:val="0"/>
                <w:sz w:val="24"/>
                <w:szCs w:val="24"/>
                <w:highlight w:val="none"/>
                <w:lang w:val="en-US" w:eastAsia="zh-CN"/>
              </w:rPr>
            </w:pPr>
            <w:r>
              <w:rPr>
                <w:rFonts w:hint="eastAsia" w:ascii="仿宋_GB2312" w:hAnsi="仿宋_GB2312" w:eastAsia="仿宋_GB2312" w:cs="仿宋_GB2312"/>
                <w:b/>
                <w:bCs/>
                <w:color w:val="auto"/>
                <w:spacing w:val="0"/>
                <w:position w:val="0"/>
                <w:sz w:val="24"/>
                <w:szCs w:val="24"/>
                <w:highlight w:val="none"/>
                <w:lang w:val="en-US" w:eastAsia="zh-CN"/>
              </w:rPr>
              <w:t>分值</w:t>
            </w:r>
          </w:p>
        </w:tc>
      </w:tr>
      <w:tr w14:paraId="2336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noWrap w:val="0"/>
            <w:vAlign w:val="center"/>
          </w:tcPr>
          <w:p w14:paraId="7C674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1</w:t>
            </w:r>
          </w:p>
        </w:tc>
        <w:tc>
          <w:tcPr>
            <w:tcW w:w="1208" w:type="dxa"/>
            <w:noWrap w:val="0"/>
            <w:vAlign w:val="center"/>
          </w:tcPr>
          <w:p w14:paraId="3E01FC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企业业绩</w:t>
            </w:r>
          </w:p>
        </w:tc>
        <w:tc>
          <w:tcPr>
            <w:tcW w:w="6742" w:type="dxa"/>
            <w:noWrap w:val="0"/>
            <w:vAlign w:val="center"/>
          </w:tcPr>
          <w:p w14:paraId="31D71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b w:val="0"/>
                <w:bCs w:val="0"/>
                <w:color w:val="auto"/>
                <w:spacing w:val="0"/>
                <w:kern w:val="2"/>
                <w:position w:val="0"/>
                <w:sz w:val="24"/>
                <w:szCs w:val="24"/>
                <w:highlight w:val="none"/>
                <w:lang w:val="en-US" w:eastAsia="zh-CN" w:bidi="ar-SA"/>
              </w:rPr>
              <w:t>自</w:t>
            </w:r>
            <w:r>
              <w:rPr>
                <w:rFonts w:hint="eastAsia" w:ascii="仿宋_GB2312" w:hAnsi="仿宋_GB2312" w:eastAsia="仿宋_GB2312" w:cs="仿宋_GB2312"/>
                <w:color w:val="auto"/>
                <w:spacing w:val="0"/>
                <w:position w:val="0"/>
                <w:sz w:val="24"/>
                <w:szCs w:val="24"/>
                <w:highlight w:val="none"/>
                <w:lang w:val="en-US" w:eastAsia="zh-CN"/>
              </w:rPr>
              <w:t>2023年7月1日以来（以合同签订时间为准），投标人具有类似消防改造项目业绩的，每提供一个合同得1分，</w:t>
            </w:r>
            <w:r>
              <w:rPr>
                <w:rFonts w:hint="eastAsia" w:ascii="仿宋_GB2312" w:hAnsi="仿宋_GB2312" w:eastAsia="仿宋_GB2312" w:cs="仿宋_GB2312"/>
                <w:b w:val="0"/>
                <w:bCs w:val="0"/>
                <w:color w:val="auto"/>
                <w:spacing w:val="0"/>
                <w:kern w:val="2"/>
                <w:position w:val="0"/>
                <w:sz w:val="24"/>
                <w:szCs w:val="24"/>
                <w:highlight w:val="none"/>
                <w:lang w:val="en-US" w:eastAsia="zh-CN" w:bidi="ar-SA"/>
              </w:rPr>
              <w:t>最高得3</w:t>
            </w:r>
            <w:r>
              <w:rPr>
                <w:rFonts w:hint="eastAsia" w:ascii="仿宋_GB2312" w:hAnsi="仿宋_GB2312" w:eastAsia="仿宋_GB2312" w:cs="仿宋_GB2312"/>
                <w:color w:val="auto"/>
                <w:spacing w:val="0"/>
                <w:position w:val="0"/>
                <w:sz w:val="24"/>
                <w:szCs w:val="24"/>
                <w:highlight w:val="none"/>
                <w:lang w:val="en-US" w:eastAsia="zh-CN"/>
              </w:rPr>
              <w:t>分。</w:t>
            </w:r>
            <w:r>
              <w:rPr>
                <w:rFonts w:hint="eastAsia" w:ascii="仿宋_GB2312" w:hAnsi="仿宋_GB2312" w:eastAsia="仿宋_GB2312" w:cs="仿宋_GB2312"/>
                <w:b/>
                <w:bCs/>
                <w:color w:val="auto"/>
                <w:spacing w:val="0"/>
                <w:position w:val="0"/>
                <w:sz w:val="24"/>
                <w:szCs w:val="24"/>
                <w:highlight w:val="none"/>
                <w:lang w:val="en-US" w:eastAsia="zh-CN"/>
              </w:rPr>
              <w:t>投标文件中需提供合同原件扫描件或图片并加盖投标人电子公章，不提供的不得分。</w:t>
            </w:r>
          </w:p>
        </w:tc>
        <w:tc>
          <w:tcPr>
            <w:tcW w:w="806" w:type="dxa"/>
            <w:noWrap w:val="0"/>
            <w:vAlign w:val="center"/>
          </w:tcPr>
          <w:p w14:paraId="74763B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w:t>
            </w:r>
          </w:p>
        </w:tc>
      </w:tr>
      <w:tr w14:paraId="385F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noWrap w:val="0"/>
            <w:vAlign w:val="center"/>
          </w:tcPr>
          <w:p w14:paraId="1BBA8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w:t>
            </w:r>
          </w:p>
        </w:tc>
        <w:tc>
          <w:tcPr>
            <w:tcW w:w="1208" w:type="dxa"/>
            <w:noWrap w:val="0"/>
            <w:vAlign w:val="center"/>
          </w:tcPr>
          <w:p w14:paraId="6692EF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团队能力</w:t>
            </w:r>
          </w:p>
        </w:tc>
        <w:tc>
          <w:tcPr>
            <w:tcW w:w="6742" w:type="dxa"/>
            <w:noWrap w:val="0"/>
            <w:vAlign w:val="center"/>
          </w:tcPr>
          <w:p w14:paraId="1816AC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1.拟派项目负责人同时具有一级注册消防工程师证书</w:t>
            </w:r>
            <w:r>
              <w:rPr>
                <w:rFonts w:hint="eastAsia" w:ascii="仿宋_GB2312" w:hAnsi="仿宋_GB2312" w:eastAsia="仿宋_GB2312" w:cs="仿宋_GB2312"/>
                <w:color w:val="auto"/>
                <w:sz w:val="24"/>
                <w:szCs w:val="24"/>
                <w:highlight w:val="none"/>
                <w:lang w:val="en-US" w:eastAsia="zh-CN" w:bidi="ar"/>
              </w:rPr>
              <w:t>和建筑相关专业高级工程师职称</w:t>
            </w:r>
            <w:r>
              <w:rPr>
                <w:rFonts w:hint="eastAsia" w:ascii="仿宋_GB2312" w:hAnsi="仿宋_GB2312" w:eastAsia="仿宋_GB2312" w:cs="仿宋_GB2312"/>
                <w:color w:val="auto"/>
                <w:sz w:val="24"/>
                <w:szCs w:val="24"/>
                <w:highlight w:val="none"/>
                <w:lang w:bidi="ar"/>
              </w:rPr>
              <w:t>的</w:t>
            </w:r>
            <w:r>
              <w:rPr>
                <w:rFonts w:hint="eastAsia" w:ascii="仿宋_GB2312" w:hAnsi="仿宋_GB2312" w:eastAsia="仿宋_GB2312" w:cs="仿宋_GB2312"/>
                <w:color w:val="auto"/>
                <w:spacing w:val="0"/>
                <w:position w:val="0"/>
                <w:sz w:val="24"/>
                <w:szCs w:val="24"/>
                <w:highlight w:val="none"/>
                <w:lang w:val="en-US" w:eastAsia="zh-CN"/>
              </w:rPr>
              <w:t>得2分。</w:t>
            </w:r>
          </w:p>
          <w:p w14:paraId="1E14C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2.项目团队成员（项目负责人除外）中具有特种作业操作证（建筑焊工）1-2名的得1分，具有3名及以上的得2分；具有特种作业操作证（低压电工作业）1-2名的得1分，具有3名及以上的得2分；本项最高得4分。</w:t>
            </w:r>
          </w:p>
          <w:p w14:paraId="6C0529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b/>
                <w:bCs/>
                <w:color w:val="auto"/>
                <w:spacing w:val="0"/>
                <w:position w:val="0"/>
                <w:sz w:val="24"/>
                <w:szCs w:val="24"/>
                <w:highlight w:val="none"/>
                <w:lang w:val="en-US" w:eastAsia="zh-CN"/>
              </w:rPr>
              <w:t>投标文件中需提供人员相关证书及其在投标人本单位缴纳的社保证明扫描件或图片并加盖投标人电子公章，不提供的不得分。</w:t>
            </w:r>
          </w:p>
        </w:tc>
        <w:tc>
          <w:tcPr>
            <w:tcW w:w="806" w:type="dxa"/>
            <w:noWrap w:val="0"/>
            <w:vAlign w:val="center"/>
          </w:tcPr>
          <w:p w14:paraId="368BF3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6</w:t>
            </w:r>
          </w:p>
        </w:tc>
      </w:tr>
      <w:tr w14:paraId="54D9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noWrap w:val="0"/>
            <w:vAlign w:val="center"/>
          </w:tcPr>
          <w:p w14:paraId="43CAD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w:t>
            </w:r>
          </w:p>
        </w:tc>
        <w:tc>
          <w:tcPr>
            <w:tcW w:w="1208" w:type="dxa"/>
            <w:noWrap w:val="0"/>
            <w:vAlign w:val="center"/>
          </w:tcPr>
          <w:p w14:paraId="6103FA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企业实力</w:t>
            </w:r>
          </w:p>
        </w:tc>
        <w:tc>
          <w:tcPr>
            <w:tcW w:w="6742" w:type="dxa"/>
            <w:noWrap w:val="0"/>
            <w:vAlign w:val="center"/>
          </w:tcPr>
          <w:p w14:paraId="70359C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1.投标人具备建筑机电安装工程专业承包一级资质的得3分，二级资质得2分，三级资质得1分。</w:t>
            </w:r>
          </w:p>
          <w:p w14:paraId="003DCF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2.投标人具有包括但不限于有效期内质量管理体系、社会责任管理体系认证证书等，每有一个得2分，最高得4分。</w:t>
            </w:r>
          </w:p>
          <w:p w14:paraId="4FCF03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3.投标人在省级及以上消防技术服务管理系统中最新期的信用等级为A级的得3分，B级的得1分，C级及以下不得分。</w:t>
            </w:r>
          </w:p>
          <w:p w14:paraId="2D36F2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b/>
                <w:bCs/>
                <w:color w:val="auto"/>
                <w:spacing w:val="0"/>
                <w:position w:val="0"/>
                <w:sz w:val="24"/>
                <w:szCs w:val="24"/>
                <w:highlight w:val="none"/>
                <w:lang w:val="en-US" w:eastAsia="zh-CN"/>
              </w:rPr>
              <w:t>投标文件中需提供相关证明材料（官方网站截图）扫描件或图片并加盖投标人电子公章，不提供的不得分。</w:t>
            </w:r>
          </w:p>
        </w:tc>
        <w:tc>
          <w:tcPr>
            <w:tcW w:w="806" w:type="dxa"/>
            <w:noWrap w:val="0"/>
            <w:vAlign w:val="center"/>
          </w:tcPr>
          <w:p w14:paraId="654606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10</w:t>
            </w:r>
          </w:p>
        </w:tc>
      </w:tr>
      <w:tr w14:paraId="610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vMerge w:val="restart"/>
            <w:noWrap w:val="0"/>
            <w:vAlign w:val="center"/>
          </w:tcPr>
          <w:p w14:paraId="70134C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5</w:t>
            </w:r>
          </w:p>
        </w:tc>
        <w:tc>
          <w:tcPr>
            <w:tcW w:w="1208" w:type="dxa"/>
            <w:vMerge w:val="restart"/>
            <w:noWrap w:val="0"/>
            <w:vAlign w:val="center"/>
          </w:tcPr>
          <w:p w14:paraId="69D4E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整体方案</w:t>
            </w:r>
          </w:p>
        </w:tc>
        <w:tc>
          <w:tcPr>
            <w:tcW w:w="6742" w:type="dxa"/>
            <w:noWrap w:val="0"/>
            <w:vAlign w:val="center"/>
          </w:tcPr>
          <w:p w14:paraId="5E3244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工程概况：对现场情况充分了解且内容完整；对工程整体有深刻认识、表述完整、清晰；整体编制合理符合规范要求等进行打分。</w:t>
            </w:r>
            <w:r>
              <w:rPr>
                <w:rFonts w:hint="eastAsia" w:ascii="仿宋_GB2312" w:hAnsi="仿宋_GB2312" w:eastAsia="仿宋_GB2312" w:cs="仿宋_GB2312"/>
                <w:color w:val="auto"/>
                <w:spacing w:val="0"/>
                <w:position w:val="0"/>
                <w:sz w:val="24"/>
                <w:szCs w:val="24"/>
                <w:highlight w:val="none"/>
              </w:rPr>
              <w:t>(</w:t>
            </w:r>
            <w:r>
              <w:rPr>
                <w:rFonts w:hint="eastAsia" w:ascii="仿宋_GB2312" w:hAnsi="仿宋_GB2312" w:eastAsia="仿宋_GB2312" w:cs="仿宋_GB2312"/>
                <w:color w:val="auto"/>
                <w:spacing w:val="0"/>
                <w:position w:val="0"/>
                <w:sz w:val="24"/>
                <w:szCs w:val="24"/>
                <w:highlight w:val="none"/>
                <w:lang w:val="en-US" w:eastAsia="zh-CN"/>
              </w:rPr>
              <w:t>0-5</w:t>
            </w:r>
            <w:r>
              <w:rPr>
                <w:rFonts w:hint="eastAsia" w:ascii="仿宋_GB2312" w:hAnsi="仿宋_GB2312" w:eastAsia="仿宋_GB2312" w:cs="仿宋_GB2312"/>
                <w:color w:val="auto"/>
                <w:spacing w:val="0"/>
                <w:position w:val="0"/>
                <w:sz w:val="24"/>
                <w:szCs w:val="24"/>
                <w:highlight w:val="none"/>
              </w:rPr>
              <w:t>分)</w:t>
            </w:r>
          </w:p>
        </w:tc>
        <w:tc>
          <w:tcPr>
            <w:tcW w:w="806" w:type="dxa"/>
            <w:noWrap w:val="0"/>
            <w:vAlign w:val="center"/>
          </w:tcPr>
          <w:p w14:paraId="6D0E4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5</w:t>
            </w:r>
          </w:p>
        </w:tc>
      </w:tr>
      <w:tr w14:paraId="2DB3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vMerge w:val="continue"/>
            <w:noWrap w:val="0"/>
            <w:vAlign w:val="center"/>
          </w:tcPr>
          <w:p w14:paraId="1D0982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p>
        </w:tc>
        <w:tc>
          <w:tcPr>
            <w:tcW w:w="1208" w:type="dxa"/>
            <w:vMerge w:val="continue"/>
            <w:noWrap w:val="0"/>
            <w:vAlign w:val="center"/>
          </w:tcPr>
          <w:p w14:paraId="25E628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p>
        </w:tc>
        <w:tc>
          <w:tcPr>
            <w:tcW w:w="6742" w:type="dxa"/>
            <w:noWrap w:val="0"/>
            <w:vAlign w:val="center"/>
          </w:tcPr>
          <w:p w14:paraId="4E43DD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根据项目的主要施工方案编制合理性、可行性进行打分。</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lang w:val="en-US" w:eastAsia="zh-CN"/>
              </w:rPr>
              <w:t>0-6分</w:t>
            </w:r>
            <w:r>
              <w:rPr>
                <w:rFonts w:hint="eastAsia" w:ascii="仿宋_GB2312" w:hAnsi="仿宋_GB2312" w:eastAsia="仿宋_GB2312" w:cs="仿宋_GB2312"/>
                <w:color w:val="auto"/>
                <w:spacing w:val="0"/>
                <w:position w:val="0"/>
                <w:sz w:val="24"/>
                <w:szCs w:val="24"/>
                <w:highlight w:val="none"/>
                <w:lang w:eastAsia="zh-CN"/>
              </w:rPr>
              <w:t>）</w:t>
            </w:r>
          </w:p>
        </w:tc>
        <w:tc>
          <w:tcPr>
            <w:tcW w:w="806" w:type="dxa"/>
            <w:noWrap w:val="0"/>
            <w:vAlign w:val="center"/>
          </w:tcPr>
          <w:p w14:paraId="54AE2A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6</w:t>
            </w:r>
          </w:p>
        </w:tc>
      </w:tr>
      <w:tr w14:paraId="4CC4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vMerge w:val="continue"/>
            <w:noWrap w:val="0"/>
            <w:vAlign w:val="center"/>
          </w:tcPr>
          <w:p w14:paraId="522A74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p>
        </w:tc>
        <w:tc>
          <w:tcPr>
            <w:tcW w:w="1208" w:type="dxa"/>
            <w:vMerge w:val="continue"/>
            <w:noWrap w:val="0"/>
            <w:vAlign w:val="center"/>
          </w:tcPr>
          <w:p w14:paraId="79E1B9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p>
        </w:tc>
        <w:tc>
          <w:tcPr>
            <w:tcW w:w="6742" w:type="dxa"/>
            <w:noWrap w:val="0"/>
            <w:vAlign w:val="center"/>
          </w:tcPr>
          <w:p w14:paraId="1FCAE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根据施工项目技术制度是否健全、主要工序质量技术是否有保证措施和手段、自控体系完整性、达到承诺的质量标准可行性进行打分。</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lang w:val="en-US" w:eastAsia="zh-CN"/>
              </w:rPr>
              <w:t>0-7分</w:t>
            </w:r>
            <w:r>
              <w:rPr>
                <w:rFonts w:hint="eastAsia" w:ascii="仿宋_GB2312" w:hAnsi="仿宋_GB2312" w:eastAsia="仿宋_GB2312" w:cs="仿宋_GB2312"/>
                <w:color w:val="auto"/>
                <w:spacing w:val="0"/>
                <w:position w:val="0"/>
                <w:sz w:val="24"/>
                <w:szCs w:val="24"/>
                <w:highlight w:val="none"/>
                <w:lang w:eastAsia="zh-CN"/>
              </w:rPr>
              <w:t>）</w:t>
            </w:r>
          </w:p>
        </w:tc>
        <w:tc>
          <w:tcPr>
            <w:tcW w:w="806" w:type="dxa"/>
            <w:noWrap w:val="0"/>
            <w:vAlign w:val="center"/>
          </w:tcPr>
          <w:p w14:paraId="6C941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7</w:t>
            </w:r>
          </w:p>
        </w:tc>
      </w:tr>
      <w:tr w14:paraId="4973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vMerge w:val="continue"/>
            <w:noWrap w:val="0"/>
            <w:vAlign w:val="center"/>
          </w:tcPr>
          <w:p w14:paraId="601FF6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p>
        </w:tc>
        <w:tc>
          <w:tcPr>
            <w:tcW w:w="1208" w:type="dxa"/>
            <w:vMerge w:val="continue"/>
            <w:noWrap w:val="0"/>
            <w:vAlign w:val="center"/>
          </w:tcPr>
          <w:p w14:paraId="55D8C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p>
        </w:tc>
        <w:tc>
          <w:tcPr>
            <w:tcW w:w="6742" w:type="dxa"/>
            <w:noWrap w:val="0"/>
            <w:vAlign w:val="center"/>
          </w:tcPr>
          <w:p w14:paraId="14785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确保工期的技术组织措施、工程进度计划与措施及施工网络图；施工网络图编制规范，各项计划图表编制完善，安排科学合理，符合本项目施工实际要求的进行打分。</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lang w:val="en-US" w:eastAsia="zh-CN"/>
              </w:rPr>
              <w:t>0-6分</w:t>
            </w:r>
            <w:r>
              <w:rPr>
                <w:rFonts w:hint="eastAsia" w:ascii="仿宋_GB2312" w:hAnsi="仿宋_GB2312" w:eastAsia="仿宋_GB2312" w:cs="仿宋_GB2312"/>
                <w:color w:val="auto"/>
                <w:spacing w:val="0"/>
                <w:position w:val="0"/>
                <w:sz w:val="24"/>
                <w:szCs w:val="24"/>
                <w:highlight w:val="none"/>
                <w:lang w:eastAsia="zh-CN"/>
              </w:rPr>
              <w:t>）</w:t>
            </w:r>
          </w:p>
        </w:tc>
        <w:tc>
          <w:tcPr>
            <w:tcW w:w="806" w:type="dxa"/>
            <w:noWrap w:val="0"/>
            <w:vAlign w:val="center"/>
          </w:tcPr>
          <w:p w14:paraId="4248C0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6</w:t>
            </w:r>
          </w:p>
        </w:tc>
      </w:tr>
      <w:tr w14:paraId="5613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noWrap w:val="0"/>
            <w:vAlign w:val="center"/>
          </w:tcPr>
          <w:p w14:paraId="04D3A6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kern w:val="2"/>
                <w:position w:val="0"/>
                <w:sz w:val="24"/>
                <w:szCs w:val="24"/>
                <w:highlight w:val="none"/>
                <w:lang w:val="en-US" w:eastAsia="zh-CN" w:bidi="ar-SA"/>
              </w:rPr>
              <w:t>6</w:t>
            </w:r>
          </w:p>
        </w:tc>
        <w:tc>
          <w:tcPr>
            <w:tcW w:w="1208" w:type="dxa"/>
            <w:noWrap w:val="0"/>
            <w:vAlign w:val="center"/>
          </w:tcPr>
          <w:p w14:paraId="1A54C0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安全文明施工保护措施</w:t>
            </w:r>
          </w:p>
        </w:tc>
        <w:tc>
          <w:tcPr>
            <w:tcW w:w="6742" w:type="dxa"/>
            <w:noWrap w:val="0"/>
            <w:vAlign w:val="center"/>
          </w:tcPr>
          <w:p w14:paraId="392B78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根据各投标人的工程总体安全、文明目标，结合工程特点，制定用于实现本项目安全、文明目标的措施等进行打分。</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lang w:val="en-US" w:eastAsia="zh-CN"/>
              </w:rPr>
              <w:t>0-6分</w:t>
            </w:r>
            <w:r>
              <w:rPr>
                <w:rFonts w:hint="eastAsia" w:ascii="仿宋_GB2312" w:hAnsi="仿宋_GB2312" w:eastAsia="仿宋_GB2312" w:cs="仿宋_GB2312"/>
                <w:color w:val="auto"/>
                <w:spacing w:val="0"/>
                <w:position w:val="0"/>
                <w:sz w:val="24"/>
                <w:szCs w:val="24"/>
                <w:highlight w:val="none"/>
                <w:lang w:eastAsia="zh-CN"/>
              </w:rPr>
              <w:t>）</w:t>
            </w:r>
          </w:p>
        </w:tc>
        <w:tc>
          <w:tcPr>
            <w:tcW w:w="806" w:type="dxa"/>
            <w:noWrap w:val="0"/>
            <w:vAlign w:val="center"/>
          </w:tcPr>
          <w:p w14:paraId="5B57A8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6</w:t>
            </w:r>
          </w:p>
        </w:tc>
      </w:tr>
      <w:tr w14:paraId="1E02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noWrap w:val="0"/>
            <w:vAlign w:val="center"/>
          </w:tcPr>
          <w:p w14:paraId="6C525B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7</w:t>
            </w:r>
          </w:p>
        </w:tc>
        <w:tc>
          <w:tcPr>
            <w:tcW w:w="1208" w:type="dxa"/>
            <w:noWrap w:val="0"/>
            <w:vAlign w:val="center"/>
          </w:tcPr>
          <w:p w14:paraId="3A724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企业预案方案</w:t>
            </w:r>
          </w:p>
        </w:tc>
        <w:tc>
          <w:tcPr>
            <w:tcW w:w="6742" w:type="dxa"/>
            <w:noWrap w:val="0"/>
            <w:vAlign w:val="center"/>
          </w:tcPr>
          <w:p w14:paraId="65282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投标人根据本项目特征及自身特点，对工程实施中可能的冲突措施、各项应急预案编制预案方案等进行打分。</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lang w:val="en-US" w:eastAsia="zh-CN"/>
              </w:rPr>
              <w:t>0-5分</w:t>
            </w:r>
            <w:r>
              <w:rPr>
                <w:rFonts w:hint="eastAsia" w:ascii="仿宋_GB2312" w:hAnsi="仿宋_GB2312" w:eastAsia="仿宋_GB2312" w:cs="仿宋_GB2312"/>
                <w:color w:val="auto"/>
                <w:spacing w:val="0"/>
                <w:position w:val="0"/>
                <w:sz w:val="24"/>
                <w:szCs w:val="24"/>
                <w:highlight w:val="none"/>
                <w:lang w:eastAsia="zh-CN"/>
              </w:rPr>
              <w:t>）</w:t>
            </w:r>
          </w:p>
        </w:tc>
        <w:tc>
          <w:tcPr>
            <w:tcW w:w="806" w:type="dxa"/>
            <w:noWrap w:val="0"/>
            <w:vAlign w:val="center"/>
          </w:tcPr>
          <w:p w14:paraId="65382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kern w:val="2"/>
                <w:position w:val="0"/>
                <w:sz w:val="24"/>
                <w:szCs w:val="24"/>
                <w:highlight w:val="none"/>
                <w:lang w:val="en-US" w:eastAsia="zh-CN" w:bidi="ar-SA"/>
              </w:rPr>
              <w:t>5</w:t>
            </w:r>
          </w:p>
        </w:tc>
      </w:tr>
      <w:tr w14:paraId="5A45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2" w:type="dxa"/>
            <w:noWrap w:val="0"/>
            <w:vAlign w:val="center"/>
          </w:tcPr>
          <w:p w14:paraId="377AD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8</w:t>
            </w:r>
          </w:p>
        </w:tc>
        <w:tc>
          <w:tcPr>
            <w:tcW w:w="1208" w:type="dxa"/>
            <w:noWrap w:val="0"/>
            <w:vAlign w:val="center"/>
          </w:tcPr>
          <w:p w14:paraId="66516C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售后服务</w:t>
            </w:r>
          </w:p>
          <w:p w14:paraId="0ED2E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kern w:val="2"/>
                <w:position w:val="0"/>
                <w:sz w:val="24"/>
                <w:szCs w:val="24"/>
                <w:highlight w:val="none"/>
                <w:lang w:val="en-US" w:eastAsia="zh-CN" w:bidi="ar-SA"/>
              </w:rPr>
              <w:t>方案</w:t>
            </w:r>
          </w:p>
        </w:tc>
        <w:tc>
          <w:tcPr>
            <w:tcW w:w="6742" w:type="dxa"/>
            <w:noWrap w:val="0"/>
            <w:vAlign w:val="center"/>
          </w:tcPr>
          <w:p w14:paraId="6E4ED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kern w:val="2"/>
                <w:position w:val="0"/>
                <w:sz w:val="24"/>
                <w:szCs w:val="24"/>
                <w:highlight w:val="none"/>
                <w:lang w:val="en-US" w:eastAsia="zh-CN" w:bidi="ar-SA"/>
              </w:rPr>
              <w:t>投标人提供的售后服务方案、现场服务能力，配有较强的专业技术队伍，提供快速的服务响应等情况进行打分</w:t>
            </w:r>
            <w:r>
              <w:rPr>
                <w:rFonts w:hint="eastAsia" w:ascii="仿宋_GB2312" w:hAnsi="仿宋_GB2312" w:eastAsia="仿宋_GB2312" w:cs="仿宋_GB2312"/>
                <w:color w:val="auto"/>
                <w:spacing w:val="0"/>
                <w:kern w:val="2"/>
                <w:position w:val="0"/>
                <w:sz w:val="24"/>
                <w:szCs w:val="24"/>
                <w:highlight w:val="none"/>
                <w:lang w:eastAsia="zh-CN" w:bidi="ar-SA"/>
              </w:rPr>
              <w:t>。</w:t>
            </w:r>
            <w:r>
              <w:rPr>
                <w:rFonts w:hint="eastAsia" w:ascii="仿宋_GB2312" w:hAnsi="仿宋_GB2312" w:eastAsia="仿宋_GB2312" w:cs="仿宋_GB2312"/>
                <w:color w:val="auto"/>
                <w:spacing w:val="0"/>
                <w:position w:val="0"/>
                <w:sz w:val="24"/>
                <w:szCs w:val="24"/>
                <w:highlight w:val="none"/>
              </w:rPr>
              <w:t>(</w:t>
            </w:r>
            <w:r>
              <w:rPr>
                <w:rFonts w:hint="eastAsia" w:ascii="仿宋_GB2312" w:hAnsi="仿宋_GB2312" w:eastAsia="仿宋_GB2312" w:cs="仿宋_GB2312"/>
                <w:color w:val="auto"/>
                <w:spacing w:val="0"/>
                <w:position w:val="0"/>
                <w:sz w:val="24"/>
                <w:szCs w:val="24"/>
                <w:highlight w:val="none"/>
                <w:lang w:val="en-US" w:eastAsia="zh-CN"/>
              </w:rPr>
              <w:t>0-6</w:t>
            </w:r>
            <w:r>
              <w:rPr>
                <w:rFonts w:hint="eastAsia" w:ascii="仿宋_GB2312" w:hAnsi="仿宋_GB2312" w:eastAsia="仿宋_GB2312" w:cs="仿宋_GB2312"/>
                <w:color w:val="auto"/>
                <w:spacing w:val="0"/>
                <w:position w:val="0"/>
                <w:sz w:val="24"/>
                <w:szCs w:val="24"/>
                <w:highlight w:val="none"/>
              </w:rPr>
              <w:t>分)</w:t>
            </w:r>
          </w:p>
        </w:tc>
        <w:tc>
          <w:tcPr>
            <w:tcW w:w="806" w:type="dxa"/>
            <w:noWrap w:val="0"/>
            <w:vAlign w:val="center"/>
          </w:tcPr>
          <w:p w14:paraId="714C1B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6</w:t>
            </w:r>
          </w:p>
        </w:tc>
      </w:tr>
    </w:tbl>
    <w:p w14:paraId="47327FE7">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b/>
          <w:color w:val="auto"/>
          <w:spacing w:val="0"/>
          <w:position w:val="0"/>
          <w:sz w:val="24"/>
          <w:szCs w:val="24"/>
          <w:highlight w:val="none"/>
        </w:rPr>
        <w:t>备注：</w:t>
      </w:r>
      <w:r>
        <w:rPr>
          <w:rFonts w:hint="eastAsia" w:ascii="仿宋_GB2312" w:hAnsi="仿宋_GB2312" w:eastAsia="仿宋_GB2312" w:cs="仿宋_GB2312"/>
          <w:color w:val="auto"/>
          <w:spacing w:val="0"/>
          <w:position w:val="0"/>
          <w:sz w:val="24"/>
          <w:szCs w:val="24"/>
          <w:highlight w:val="none"/>
        </w:rPr>
        <w:t>投标人编制投标文件（商务技术文件部分）时，建议按此目录（序号和内容）提供评标标准相应的商务技术资料。</w:t>
      </w:r>
    </w:p>
    <w:p w14:paraId="38589814">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仿宋_GB2312" w:hAnsi="仿宋_GB2312" w:eastAsia="仿宋_GB2312" w:cs="仿宋_GB2312"/>
          <w:color w:val="auto"/>
          <w:spacing w:val="0"/>
          <w:position w:val="0"/>
          <w:sz w:val="24"/>
          <w:szCs w:val="24"/>
          <w:highlight w:val="none"/>
        </w:rPr>
      </w:pPr>
    </w:p>
    <w:p w14:paraId="0D343F49">
      <w:pPr>
        <w:pStyle w:val="6"/>
        <w:keepNext w:val="0"/>
        <w:keepLines w:val="0"/>
        <w:pageBreakBefore w:val="0"/>
        <w:widowControl w:val="0"/>
        <w:tabs>
          <w:tab w:val="left" w:pos="5325"/>
        </w:tabs>
        <w:kinsoku/>
        <w:wordWrap/>
        <w:overflowPunct/>
        <w:topLinePunct w:val="0"/>
        <w:autoSpaceDE/>
        <w:autoSpaceDN/>
        <w:bidi w:val="0"/>
        <w:adjustRightInd w:val="0"/>
        <w:snapToGrid w:val="0"/>
        <w:spacing w:line="360" w:lineRule="auto"/>
        <w:ind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eastAsia="zh-CN"/>
        </w:rPr>
        <w:t>2.2</w:t>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u w:val="none"/>
        </w:rPr>
        <w:t>报价</w:t>
      </w:r>
      <w:r>
        <w:rPr>
          <w:rFonts w:hint="eastAsia" w:ascii="仿宋_GB2312" w:hAnsi="仿宋_GB2312" w:eastAsia="仿宋_GB2312" w:cs="仿宋_GB2312"/>
          <w:b/>
          <w:bCs/>
          <w:color w:val="000000"/>
          <w:sz w:val="24"/>
          <w:szCs w:val="24"/>
          <w:u w:val="none"/>
          <w:lang w:val="en-US" w:eastAsia="zh-CN"/>
        </w:rPr>
        <w:t>分</w:t>
      </w:r>
      <w:r>
        <w:rPr>
          <w:rFonts w:hint="eastAsia" w:ascii="仿宋_GB2312" w:hAnsi="仿宋_GB2312" w:eastAsia="仿宋_GB2312" w:cs="仿宋_GB2312"/>
          <w:b/>
          <w:bCs/>
          <w:color w:val="000000"/>
          <w:sz w:val="24"/>
          <w:szCs w:val="24"/>
        </w:rPr>
        <w:t xml:space="preserve"> </w:t>
      </w:r>
      <w:r>
        <w:rPr>
          <w:rFonts w:hint="eastAsia" w:ascii="仿宋_GB2312" w:hAnsi="仿宋_GB2312" w:eastAsia="仿宋_GB2312" w:cs="仿宋_GB2312"/>
          <w:b/>
          <w:bCs/>
          <w:color w:val="000000"/>
          <w:sz w:val="24"/>
          <w:szCs w:val="24"/>
          <w:lang w:eastAsia="zh-CN"/>
        </w:rPr>
        <w:t>（</w:t>
      </w:r>
      <w:r>
        <w:rPr>
          <w:rFonts w:hint="eastAsia" w:ascii="仿宋_GB2312" w:hAnsi="仿宋_GB2312" w:eastAsia="仿宋_GB2312" w:cs="仿宋_GB2312"/>
          <w:b/>
          <w:bCs/>
          <w:color w:val="000000"/>
          <w:sz w:val="24"/>
          <w:szCs w:val="24"/>
          <w:lang w:val="en-US" w:eastAsia="zh-CN"/>
        </w:rPr>
        <w:t>4</w:t>
      </w:r>
      <w:r>
        <w:rPr>
          <w:rFonts w:hint="eastAsia" w:ascii="仿宋_GB2312" w:hAnsi="仿宋_GB2312" w:eastAsia="仿宋_GB2312" w:cs="仿宋_GB2312"/>
          <w:b/>
          <w:bCs/>
          <w:color w:val="000000"/>
          <w:sz w:val="24"/>
          <w:szCs w:val="24"/>
        </w:rPr>
        <w:t>0分</w:t>
      </w:r>
      <w:r>
        <w:rPr>
          <w:rFonts w:hint="eastAsia" w:ascii="仿宋_GB2312" w:hAnsi="仿宋_GB2312" w:eastAsia="仿宋_GB2312" w:cs="仿宋_GB2312"/>
          <w:b/>
          <w:bCs/>
          <w:color w:val="000000"/>
          <w:sz w:val="24"/>
          <w:szCs w:val="24"/>
          <w:lang w:eastAsia="zh-CN"/>
        </w:rPr>
        <w:t>）</w:t>
      </w:r>
      <w:r>
        <w:rPr>
          <w:rFonts w:hint="eastAsia" w:ascii="仿宋_GB2312" w:hAnsi="仿宋_GB2312" w:eastAsia="仿宋_GB2312" w:cs="仿宋_GB2312"/>
          <w:b/>
          <w:bCs/>
          <w:color w:val="000000"/>
          <w:sz w:val="24"/>
          <w:szCs w:val="24"/>
        </w:rPr>
        <w:t xml:space="preserve">  </w:t>
      </w:r>
      <w:r>
        <w:rPr>
          <w:rFonts w:hint="eastAsia" w:ascii="仿宋_GB2312" w:hAnsi="仿宋_GB2312" w:eastAsia="仿宋_GB2312" w:cs="仿宋_GB2312"/>
          <w:b/>
          <w:bCs/>
          <w:color w:val="000000"/>
          <w:sz w:val="24"/>
          <w:szCs w:val="24"/>
        </w:rPr>
        <w:tab/>
      </w:r>
    </w:p>
    <w:p w14:paraId="6AAA9553">
      <w:pPr>
        <w:ind w:firstLine="480" w:firstLineChars="200"/>
        <w:rPr>
          <w:rFonts w:hint="eastAsia" w:ascii="仿宋_GB2312" w:hAnsi="仿宋_GB2312" w:eastAsia="仿宋_GB2312" w:cs="仿宋_GB2312"/>
          <w:bCs/>
          <w:iCs/>
          <w:sz w:val="24"/>
          <w:szCs w:val="24"/>
        </w:rPr>
      </w:pPr>
      <w:r>
        <w:rPr>
          <w:rFonts w:hint="eastAsia" w:ascii="仿宋_GB2312" w:hAnsi="仿宋_GB2312" w:eastAsia="仿宋_GB2312" w:cs="仿宋_GB2312"/>
          <w:bCs/>
          <w:iCs/>
          <w:sz w:val="24"/>
          <w:szCs w:val="24"/>
        </w:rPr>
        <w:t>1评标基准价：即满足招标文件要求且投标价格最低的投标报价为评标基准价，其价格分为满分。</w:t>
      </w:r>
    </w:p>
    <w:p w14:paraId="48CA8ECC">
      <w:pPr>
        <w:ind w:firstLine="480" w:firstLineChars="200"/>
        <w:rPr>
          <w:rFonts w:hint="eastAsia" w:ascii="仿宋_GB2312" w:hAnsi="仿宋_GB2312" w:eastAsia="仿宋_GB2312" w:cs="仿宋_GB2312"/>
          <w:bCs/>
          <w:iCs/>
          <w:sz w:val="24"/>
          <w:szCs w:val="24"/>
        </w:rPr>
      </w:pPr>
      <w:r>
        <w:rPr>
          <w:rFonts w:hint="eastAsia" w:ascii="仿宋_GB2312" w:hAnsi="仿宋_GB2312" w:eastAsia="仿宋_GB2312" w:cs="仿宋_GB2312"/>
          <w:bCs/>
          <w:iCs/>
          <w:sz w:val="24"/>
          <w:szCs w:val="24"/>
        </w:rPr>
        <w:t>2其他投标人的价格分统一按照下列公式计算</w:t>
      </w:r>
    </w:p>
    <w:p w14:paraId="694C9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eastAsia" w:ascii="仿宋_GB2312" w:hAnsi="仿宋_GB2312" w:eastAsia="仿宋_GB2312" w:cs="仿宋_GB2312"/>
          <w:bCs/>
          <w:iCs/>
          <w:sz w:val="24"/>
          <w:szCs w:val="24"/>
        </w:rPr>
      </w:pPr>
      <w:r>
        <w:rPr>
          <w:rFonts w:hint="eastAsia" w:ascii="仿宋_GB2312" w:hAnsi="仿宋_GB2312" w:eastAsia="仿宋_GB2312" w:cs="仿宋_GB2312"/>
          <w:bCs/>
          <w:iCs/>
          <w:sz w:val="24"/>
          <w:szCs w:val="24"/>
        </w:rPr>
        <w:t>投标报价得分=(评标基准价／投标报价)×价格权值×100</w:t>
      </w:r>
    </w:p>
    <w:p w14:paraId="08A46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即：投标报价得分=(评标基准价／投标报价)×30</w:t>
      </w:r>
    </w:p>
    <w:p w14:paraId="05D9893D">
      <w:pPr>
        <w:ind w:left="0" w:leftChars="0" w:firstLine="482" w:firstLineChars="200"/>
        <w:jc w:val="left"/>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2.3.</w:t>
      </w:r>
      <w:r>
        <w:rPr>
          <w:rFonts w:hint="eastAsia" w:ascii="仿宋_GB2312" w:hAnsi="仿宋_GB2312" w:eastAsia="仿宋_GB2312" w:cs="仿宋_GB2312"/>
          <w:kern w:val="0"/>
          <w:sz w:val="24"/>
          <w:szCs w:val="24"/>
        </w:rPr>
        <w:t xml:space="preserve"> 商务标评估在技术标评估完成后进行。技术标和商务标评估后的分数相加计算出每一投标人的总得分，计算结果精确到小数点后两位。</w:t>
      </w:r>
    </w:p>
    <w:p w14:paraId="545B36A1">
      <w:pPr>
        <w:ind w:firstLine="482" w:firstLineChars="200"/>
        <w:jc w:val="left"/>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 xml:space="preserve">2.4. </w:t>
      </w:r>
      <w:r>
        <w:rPr>
          <w:rFonts w:hint="eastAsia" w:ascii="仿宋_GB2312" w:hAnsi="仿宋_GB2312" w:eastAsia="仿宋_GB2312" w:cs="仿宋_GB2312"/>
          <w:kern w:val="0"/>
          <w:sz w:val="24"/>
          <w:szCs w:val="24"/>
        </w:rPr>
        <w:t>综合得分（满分100分）= 技术标分+商务标分</w:t>
      </w:r>
    </w:p>
    <w:p w14:paraId="63FCDBAD">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pacing w:val="0"/>
          <w:position w:val="0"/>
          <w:sz w:val="24"/>
          <w:szCs w:val="24"/>
          <w:highlight w:val="non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5"/>
      <w:lvlText w:val="%1."/>
      <w:lvlJc w:val="left"/>
      <w:pPr>
        <w:tabs>
          <w:tab w:val="left" w:pos="360"/>
        </w:tabs>
        <w:ind w:left="360" w:hanging="360" w:hangingChars="2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045E2F"/>
    <w:rsid w:val="075030C1"/>
    <w:rsid w:val="0A3664FA"/>
    <w:rsid w:val="0D0A1BA5"/>
    <w:rsid w:val="18872316"/>
    <w:rsid w:val="2B6A1667"/>
    <w:rsid w:val="39792595"/>
    <w:rsid w:val="3CE66579"/>
    <w:rsid w:val="42045E2F"/>
    <w:rsid w:val="439873F8"/>
    <w:rsid w:val="55A448AD"/>
    <w:rsid w:val="585460AD"/>
    <w:rsid w:val="5BFC067D"/>
    <w:rsid w:val="613054B9"/>
    <w:rsid w:val="70A3257C"/>
    <w:rsid w:val="75C65F89"/>
    <w:rsid w:val="7B7A3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keepNext/>
      <w:keepLines/>
      <w:numPr>
        <w:ilvl w:val="0"/>
        <w:numId w:val="1"/>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pPr>
    <w:rPr>
      <w:rFonts w:hAnsi="Calibri" w:cs="Times New Roman"/>
      <w:snapToGrid/>
      <w:szCs w:val="20"/>
    </w:rPr>
  </w:style>
  <w:style w:type="paragraph" w:styleId="3">
    <w:name w:val="Body Text"/>
    <w:basedOn w:val="1"/>
    <w:next w:val="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6">
    <w:name w:val="Plain Text"/>
    <w:basedOn w:val="1"/>
    <w:next w:val="7"/>
    <w:qFormat/>
    <w:uiPriority w:val="0"/>
    <w:rPr>
      <w:rFonts w:ascii="宋体" w:hAnsi="Courier New"/>
      <w:szCs w:val="20"/>
    </w:rPr>
  </w:style>
  <w:style w:type="paragraph" w:styleId="7">
    <w:name w:val="toc 2"/>
    <w:basedOn w:val="1"/>
    <w:next w:val="1"/>
    <w:qFormat/>
    <w:uiPriority w:val="0"/>
    <w:pPr>
      <w:ind w:left="420" w:leftChars="200"/>
    </w:pPr>
    <w:rPr>
      <w:szCs w:val="20"/>
    </w:rPr>
  </w:style>
  <w:style w:type="paragraph" w:styleId="8">
    <w:name w:val="Normal (Web)"/>
    <w:basedOn w:val="1"/>
    <w:qFormat/>
    <w:uiPriority w:val="99"/>
    <w:pPr>
      <w:widowControl/>
      <w:spacing w:before="100" w:beforeAutospacing="1" w:after="100" w:afterAutospacing="1"/>
      <w:jc w:val="left"/>
    </w:pPr>
    <w:rPr>
      <w:rFonts w:ascii="Arial" w:hAnsi="Arial" w:cs="Arial"/>
      <w:color w:val="000000"/>
      <w:kern w:val="0"/>
      <w:sz w:val="18"/>
      <w:szCs w:val="18"/>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1827</Words>
  <Characters>1922</Characters>
  <Lines>0</Lines>
  <Paragraphs>0</Paragraphs>
  <TotalTime>2</TotalTime>
  <ScaleCrop>false</ScaleCrop>
  <LinksUpToDate>false</LinksUpToDate>
  <CharactersWithSpaces>1934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2026-08-06T06:29:00Z</dcterms:created>
  <dc:creator>WPS</dc:creator>
  <cp:lastModifiedBy>月光宝盒</cp:lastModifiedBy>
  <dcterms:modified xsi:type="dcterms:W3CDTF">2026-08-31T04:38:57Z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6384B37DE01B4F13B1203391EFEB7F8D_13</vt:lpwstr>
  </property>
  <property fmtid="{D5CDD505-2E9C-101B-9397-08002B2CF9AE}" pid="4" name="KSOTemplateDocerSaveRecord">
    <vt:lpwstr>eyJoZGlkIjoiMDg2OTgzNGM3MWZhOWIwMGU4Yjg1YTU2YWJlNjRiMjAiLCJ1c2VySWQiOiI0NjExODkzNzgifQ==</vt:lpwstr>
  </property>
</Properties>
</file>